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71FA">
      <w:pPr>
        <w:spacing w:line="440" w:lineRule="exact"/>
        <w:ind w:firstLine="0" w:firstLineChars="0"/>
        <w:rPr>
          <w:rFonts w:hint="eastAsia" w:ascii="仿宋" w:hAnsi="仿宋" w:eastAsia="仿宋" w:cs="仿宋"/>
          <w:b/>
          <w:bCs/>
          <w:color w:val="auto"/>
          <w:sz w:val="36"/>
          <w:szCs w:val="36"/>
        </w:rPr>
      </w:pPr>
    </w:p>
    <w:p w14:paraId="557848B1">
      <w:pPr>
        <w:autoSpaceDE w:val="0"/>
        <w:autoSpaceDN w:val="0"/>
        <w:adjustRightInd w:val="0"/>
        <w:snapToGrid w:val="0"/>
        <w:spacing w:line="360" w:lineRule="auto"/>
        <w:jc w:val="center"/>
        <w:rPr>
          <w:rFonts w:hint="eastAsia" w:ascii="仿宋" w:hAnsi="仿宋" w:eastAsia="仿宋" w:cs="仿宋"/>
          <w:b/>
          <w:snapToGrid w:val="0"/>
          <w:color w:val="auto"/>
          <w:kern w:val="0"/>
          <w:sz w:val="44"/>
          <w:szCs w:val="44"/>
          <w:lang w:val="zh-CN"/>
        </w:rPr>
      </w:pPr>
      <w:r>
        <w:rPr>
          <w:rFonts w:hint="eastAsia" w:ascii="仿宋" w:hAnsi="仿宋" w:eastAsia="仿宋" w:cs="仿宋"/>
          <w:b/>
          <w:snapToGrid w:val="0"/>
          <w:color w:val="auto"/>
          <w:kern w:val="0"/>
          <w:sz w:val="44"/>
          <w:szCs w:val="44"/>
          <w:u w:val="single"/>
          <w:lang w:val="zh-CN"/>
        </w:rPr>
        <w:t>杭州滨江水务有限公司</w:t>
      </w:r>
    </w:p>
    <w:p w14:paraId="31030A8A">
      <w:pPr>
        <w:keepNext w:val="0"/>
        <w:keepLines w:val="0"/>
        <w:pageBreakBefore w:val="0"/>
        <w:widowControl w:val="0"/>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hint="eastAsia" w:ascii="仿宋" w:hAnsi="仿宋" w:eastAsia="仿宋" w:cs="仿宋"/>
          <w:b/>
          <w:snapToGrid w:val="0"/>
          <w:color w:val="auto"/>
          <w:kern w:val="0"/>
          <w:sz w:val="36"/>
          <w:szCs w:val="36"/>
          <w:u w:val="none"/>
          <w:lang w:val="zh-CN" w:eastAsia="zh-CN"/>
        </w:rPr>
      </w:pPr>
      <w:r>
        <w:rPr>
          <w:rFonts w:hint="eastAsia" w:ascii="仿宋" w:hAnsi="仿宋" w:eastAsia="仿宋" w:cs="仿宋"/>
          <w:b/>
          <w:snapToGrid w:val="0"/>
          <w:color w:val="auto"/>
          <w:kern w:val="0"/>
          <w:sz w:val="36"/>
          <w:szCs w:val="36"/>
          <w:u w:val="none"/>
          <w:lang w:val="zh-CN" w:eastAsia="zh-CN"/>
        </w:rPr>
        <w:t>市域供水联通保障工程（九溪水厂过江通道）地震安全性</w:t>
      </w:r>
    </w:p>
    <w:p w14:paraId="66216A8E">
      <w:pPr>
        <w:keepNext w:val="0"/>
        <w:keepLines w:val="0"/>
        <w:pageBreakBefore w:val="0"/>
        <w:widowControl w:val="0"/>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hint="eastAsia" w:ascii="仿宋" w:hAnsi="仿宋" w:eastAsia="仿宋" w:cs="仿宋"/>
          <w:b/>
          <w:snapToGrid w:val="0"/>
          <w:color w:val="auto"/>
          <w:kern w:val="0"/>
          <w:sz w:val="36"/>
          <w:szCs w:val="36"/>
          <w:lang w:val="zh-CN"/>
        </w:rPr>
      </w:pPr>
      <w:r>
        <w:rPr>
          <w:rFonts w:hint="eastAsia" w:ascii="仿宋" w:hAnsi="仿宋" w:eastAsia="仿宋" w:cs="仿宋"/>
          <w:b/>
          <w:snapToGrid w:val="0"/>
          <w:color w:val="auto"/>
          <w:kern w:val="0"/>
          <w:sz w:val="36"/>
          <w:szCs w:val="36"/>
          <w:u w:val="none"/>
          <w:lang w:val="zh-CN" w:eastAsia="zh-CN"/>
        </w:rPr>
        <w:t>评价服务</w:t>
      </w:r>
    </w:p>
    <w:p w14:paraId="1D820D51">
      <w:pPr>
        <w:autoSpaceDE w:val="0"/>
        <w:autoSpaceDN w:val="0"/>
        <w:adjustRightInd w:val="0"/>
        <w:snapToGrid w:val="0"/>
        <w:spacing w:line="360" w:lineRule="auto"/>
        <w:jc w:val="center"/>
        <w:rPr>
          <w:rFonts w:hint="eastAsia" w:ascii="仿宋" w:hAnsi="仿宋" w:eastAsia="仿宋" w:cs="仿宋"/>
          <w:snapToGrid w:val="0"/>
          <w:color w:val="auto"/>
          <w:kern w:val="0"/>
          <w:sz w:val="52"/>
          <w:szCs w:val="52"/>
        </w:rPr>
      </w:pPr>
    </w:p>
    <w:p w14:paraId="0A089709">
      <w:pPr>
        <w:autoSpaceDE w:val="0"/>
        <w:autoSpaceDN w:val="0"/>
        <w:adjustRightInd w:val="0"/>
        <w:snapToGrid w:val="0"/>
        <w:spacing w:line="360" w:lineRule="auto"/>
        <w:jc w:val="center"/>
        <w:rPr>
          <w:rFonts w:hint="eastAsia" w:ascii="仿宋" w:hAnsi="仿宋" w:eastAsia="仿宋" w:cs="仿宋"/>
          <w:b/>
          <w:snapToGrid w:val="0"/>
          <w:color w:val="auto"/>
          <w:kern w:val="0"/>
          <w:sz w:val="32"/>
          <w:szCs w:val="32"/>
        </w:rPr>
      </w:pPr>
      <w:r>
        <w:rPr>
          <w:rFonts w:hint="eastAsia" w:ascii="仿宋" w:hAnsi="仿宋" w:eastAsia="仿宋" w:cs="仿宋"/>
          <w:b/>
          <w:bCs w:val="0"/>
          <w:snapToGrid w:val="0"/>
          <w:color w:val="auto"/>
          <w:kern w:val="0"/>
          <w:sz w:val="72"/>
          <w:szCs w:val="72"/>
        </w:rPr>
        <w:t>招标文件</w:t>
      </w:r>
    </w:p>
    <w:p w14:paraId="7FDFBB96">
      <w:pPr>
        <w:pStyle w:val="16"/>
        <w:ind w:left="0" w:leftChars="0" w:firstLine="0" w:firstLineChars="0"/>
        <w:rPr>
          <w:rFonts w:hint="eastAsia" w:ascii="仿宋" w:hAnsi="仿宋" w:eastAsia="仿宋" w:cs="仿宋"/>
          <w:b/>
          <w:snapToGrid w:val="0"/>
          <w:color w:val="auto"/>
          <w:kern w:val="0"/>
          <w:sz w:val="32"/>
          <w:szCs w:val="32"/>
        </w:rPr>
      </w:pPr>
    </w:p>
    <w:p w14:paraId="0074B007">
      <w:pPr>
        <w:rPr>
          <w:rFonts w:hint="eastAsia"/>
          <w:color w:val="auto"/>
        </w:rPr>
      </w:pPr>
    </w:p>
    <w:p w14:paraId="400C4425">
      <w:pPr>
        <w:autoSpaceDE w:val="0"/>
        <w:autoSpaceDN w:val="0"/>
        <w:adjustRightInd w:val="0"/>
        <w:snapToGrid w:val="0"/>
        <w:spacing w:line="360" w:lineRule="auto"/>
        <w:ind w:left="2125" w:leftChars="1012"/>
        <w:jc w:val="left"/>
        <w:rPr>
          <w:rFonts w:hint="eastAsia" w:ascii="仿宋" w:hAnsi="仿宋" w:eastAsia="仿宋" w:cs="仿宋"/>
          <w:b/>
          <w:snapToGrid w:val="0"/>
          <w:color w:val="auto"/>
          <w:kern w:val="0"/>
          <w:sz w:val="32"/>
          <w:szCs w:val="32"/>
          <w:lang w:eastAsia="zh-CN"/>
        </w:rPr>
      </w:pPr>
      <w:r>
        <w:rPr>
          <w:rFonts w:hint="eastAsia" w:ascii="仿宋" w:hAnsi="仿宋" w:eastAsia="仿宋" w:cs="仿宋"/>
          <w:b/>
          <w:snapToGrid w:val="0"/>
          <w:color w:val="auto"/>
          <w:kern w:val="0"/>
          <w:sz w:val="32"/>
          <w:szCs w:val="32"/>
        </w:rPr>
        <w:t>招标编号:</w:t>
      </w:r>
      <w:bookmarkStart w:id="10" w:name="_GoBack"/>
      <w:bookmarkEnd w:id="10"/>
      <w:r>
        <w:rPr>
          <w:rFonts w:hint="eastAsia" w:ascii="仿宋" w:hAnsi="仿宋" w:eastAsia="仿宋" w:cs="仿宋"/>
          <w:b/>
          <w:i w:val="0"/>
          <w:iCs w:val="0"/>
          <w:caps w:val="0"/>
          <w:color w:val="auto"/>
          <w:spacing w:val="0"/>
          <w:sz w:val="32"/>
          <w:szCs w:val="32"/>
          <w:shd w:val="clear" w:fill="auto"/>
          <w:lang w:eastAsia="zh-CN"/>
        </w:rPr>
        <w:t>滨5202505000171001</w:t>
      </w:r>
    </w:p>
    <w:p w14:paraId="320E5252">
      <w:pPr>
        <w:pStyle w:val="11"/>
        <w:snapToGrid w:val="0"/>
        <w:spacing w:line="360" w:lineRule="auto"/>
        <w:jc w:val="center"/>
        <w:rPr>
          <w:rFonts w:hint="eastAsia" w:ascii="仿宋" w:hAnsi="仿宋" w:eastAsia="仿宋" w:cs="仿宋"/>
          <w:snapToGrid w:val="0"/>
          <w:color w:val="auto"/>
          <w:kern w:val="0"/>
          <w:sz w:val="32"/>
        </w:rPr>
      </w:pPr>
    </w:p>
    <w:p w14:paraId="59FA10FC">
      <w:pPr>
        <w:pStyle w:val="11"/>
        <w:snapToGrid w:val="0"/>
        <w:spacing w:line="360" w:lineRule="auto"/>
        <w:jc w:val="center"/>
        <w:rPr>
          <w:rFonts w:hint="eastAsia" w:ascii="仿宋" w:hAnsi="仿宋" w:eastAsia="仿宋" w:cs="仿宋"/>
          <w:snapToGrid w:val="0"/>
          <w:color w:val="auto"/>
          <w:kern w:val="0"/>
          <w:sz w:val="32"/>
        </w:rPr>
      </w:pPr>
    </w:p>
    <w:p w14:paraId="055C8463">
      <w:pPr>
        <w:pStyle w:val="12"/>
        <w:rPr>
          <w:rFonts w:hint="eastAsia" w:ascii="仿宋" w:hAnsi="仿宋" w:eastAsia="仿宋" w:cs="仿宋"/>
          <w:snapToGrid w:val="0"/>
          <w:color w:val="auto"/>
          <w:kern w:val="0"/>
          <w:sz w:val="32"/>
        </w:rPr>
      </w:pPr>
    </w:p>
    <w:p w14:paraId="6F18125C">
      <w:pPr>
        <w:rPr>
          <w:rFonts w:hint="eastAsia" w:ascii="仿宋" w:hAnsi="仿宋" w:eastAsia="仿宋" w:cs="仿宋"/>
          <w:snapToGrid w:val="0"/>
          <w:color w:val="auto"/>
          <w:kern w:val="0"/>
          <w:sz w:val="32"/>
        </w:rPr>
      </w:pPr>
    </w:p>
    <w:p w14:paraId="129C1C64">
      <w:pPr>
        <w:pStyle w:val="9"/>
        <w:rPr>
          <w:rFonts w:hint="eastAsia" w:ascii="仿宋" w:hAnsi="仿宋" w:eastAsia="仿宋" w:cs="仿宋"/>
          <w:snapToGrid w:val="0"/>
          <w:color w:val="auto"/>
          <w:kern w:val="0"/>
          <w:sz w:val="32"/>
        </w:rPr>
      </w:pPr>
    </w:p>
    <w:p w14:paraId="604D3CFD">
      <w:pPr>
        <w:pStyle w:val="16"/>
        <w:rPr>
          <w:rFonts w:hint="eastAsia"/>
          <w:color w:val="auto"/>
        </w:rPr>
      </w:pPr>
    </w:p>
    <w:p w14:paraId="3F550743">
      <w:pPr>
        <w:pStyle w:val="12"/>
        <w:rPr>
          <w:rFonts w:hint="eastAsia" w:ascii="仿宋" w:hAnsi="仿宋" w:eastAsia="仿宋" w:cs="仿宋"/>
          <w:snapToGrid w:val="0"/>
          <w:color w:val="auto"/>
          <w:kern w:val="0"/>
          <w:sz w:val="32"/>
        </w:rPr>
      </w:pPr>
    </w:p>
    <w:p w14:paraId="4DB451CC">
      <w:pPr>
        <w:rPr>
          <w:rFonts w:hint="eastAsia"/>
          <w:color w:val="auto"/>
        </w:rPr>
      </w:pPr>
    </w:p>
    <w:p w14:paraId="76445D02">
      <w:pPr>
        <w:pStyle w:val="11"/>
        <w:snapToGrid w:val="0"/>
        <w:spacing w:line="360" w:lineRule="auto"/>
        <w:jc w:val="center"/>
        <w:rPr>
          <w:rFonts w:hint="eastAsia" w:ascii="仿宋" w:hAnsi="仿宋" w:eastAsia="仿宋" w:cs="仿宋"/>
          <w:snapToGrid w:val="0"/>
          <w:color w:val="auto"/>
          <w:kern w:val="0"/>
          <w:sz w:val="32"/>
        </w:rPr>
      </w:pPr>
    </w:p>
    <w:p w14:paraId="37106283">
      <w:pPr>
        <w:pStyle w:val="12"/>
        <w:rPr>
          <w:rFonts w:hint="eastAsia" w:ascii="仿宋" w:hAnsi="仿宋" w:eastAsia="仿宋" w:cs="仿宋"/>
          <w:snapToGrid w:val="0"/>
          <w:color w:val="auto"/>
          <w:kern w:val="0"/>
          <w:sz w:val="32"/>
        </w:rPr>
      </w:pPr>
    </w:p>
    <w:p w14:paraId="432F2BAB">
      <w:pPr>
        <w:rPr>
          <w:rFonts w:hint="eastAsia"/>
          <w:color w:val="auto"/>
        </w:rPr>
      </w:pPr>
    </w:p>
    <w:tbl>
      <w:tblPr>
        <w:tblStyle w:val="17"/>
        <w:tblW w:w="9542" w:type="dxa"/>
        <w:jc w:val="center"/>
        <w:tblLayout w:type="fixed"/>
        <w:tblCellMar>
          <w:top w:w="0" w:type="dxa"/>
          <w:left w:w="108" w:type="dxa"/>
          <w:bottom w:w="0" w:type="dxa"/>
          <w:right w:w="108" w:type="dxa"/>
        </w:tblCellMar>
      </w:tblPr>
      <w:tblGrid>
        <w:gridCol w:w="2151"/>
        <w:gridCol w:w="7391"/>
      </w:tblGrid>
      <w:tr w14:paraId="25004422">
        <w:tblPrEx>
          <w:tblCellMar>
            <w:top w:w="0" w:type="dxa"/>
            <w:left w:w="108" w:type="dxa"/>
            <w:bottom w:w="0" w:type="dxa"/>
            <w:right w:w="108" w:type="dxa"/>
          </w:tblCellMar>
        </w:tblPrEx>
        <w:trPr>
          <w:trHeight w:val="822" w:hRule="atLeast"/>
          <w:jc w:val="center"/>
        </w:trPr>
        <w:tc>
          <w:tcPr>
            <w:tcW w:w="2151" w:type="dxa"/>
            <w:noWrap w:val="0"/>
            <w:vAlign w:val="center"/>
          </w:tcPr>
          <w:p w14:paraId="0C1EC367">
            <w:pPr>
              <w:pStyle w:val="11"/>
              <w:keepNext w:val="0"/>
              <w:keepLines w:val="0"/>
              <w:suppressLineNumbers w:val="0"/>
              <w:snapToGrid w:val="0"/>
              <w:spacing w:before="0" w:beforeAutospacing="0" w:after="0" w:afterAutospacing="0"/>
              <w:ind w:left="0" w:right="0"/>
              <w:jc w:val="center"/>
              <w:rPr>
                <w:rFonts w:hint="eastAsia" w:ascii="仿宋" w:hAnsi="仿宋" w:eastAsia="仿宋" w:cs="仿宋"/>
                <w:b/>
                <w:bCs/>
                <w:snapToGrid w:val="0"/>
                <w:color w:val="auto"/>
                <w:kern w:val="0"/>
                <w:sz w:val="32"/>
                <w:highlight w:val="none"/>
              </w:rPr>
            </w:pPr>
            <w:r>
              <w:rPr>
                <w:rFonts w:hint="eastAsia" w:ascii="仿宋" w:hAnsi="仿宋" w:eastAsia="仿宋" w:cs="仿宋"/>
                <w:b/>
                <w:bCs/>
                <w:snapToGrid w:val="0"/>
                <w:color w:val="auto"/>
                <w:kern w:val="0"/>
                <w:sz w:val="32"/>
                <w:highlight w:val="none"/>
              </w:rPr>
              <w:t>招 标 人：</w:t>
            </w:r>
          </w:p>
        </w:tc>
        <w:tc>
          <w:tcPr>
            <w:tcW w:w="7391" w:type="dxa"/>
            <w:noWrap w:val="0"/>
            <w:vAlign w:val="center"/>
          </w:tcPr>
          <w:p w14:paraId="5D1B2CEF">
            <w:pPr>
              <w:pStyle w:val="11"/>
              <w:keepNext w:val="0"/>
              <w:keepLines w:val="0"/>
              <w:suppressLineNumbers w:val="0"/>
              <w:snapToGrid w:val="0"/>
              <w:spacing w:before="0" w:beforeAutospacing="0" w:after="0" w:afterAutospacing="0"/>
              <w:ind w:left="0" w:right="0"/>
              <w:jc w:val="left"/>
              <w:rPr>
                <w:rFonts w:hint="eastAsia" w:ascii="仿宋" w:hAnsi="仿宋" w:eastAsia="仿宋" w:cs="仿宋"/>
                <w:b/>
                <w:bCs/>
                <w:snapToGrid w:val="0"/>
                <w:color w:val="auto"/>
                <w:kern w:val="0"/>
                <w:sz w:val="32"/>
                <w:highlight w:val="none"/>
              </w:rPr>
            </w:pPr>
            <w:r>
              <w:rPr>
                <w:rFonts w:hint="eastAsia" w:ascii="仿宋" w:hAnsi="仿宋" w:eastAsia="仿宋" w:cs="仿宋"/>
                <w:b/>
                <w:bCs/>
                <w:snapToGrid w:val="0"/>
                <w:color w:val="auto"/>
                <w:kern w:val="0"/>
                <w:sz w:val="32"/>
                <w:highlight w:val="none"/>
                <w:u w:val="single"/>
                <w:lang w:val="en-US" w:eastAsia="zh-CN"/>
              </w:rPr>
              <w:t xml:space="preserve">杭州滨江水务有限公司    </w:t>
            </w:r>
            <w:r>
              <w:rPr>
                <w:rFonts w:hint="eastAsia" w:ascii="仿宋" w:hAnsi="仿宋" w:eastAsia="仿宋" w:cs="仿宋"/>
                <w:b/>
                <w:bCs/>
                <w:snapToGrid w:val="0"/>
                <w:color w:val="auto"/>
                <w:kern w:val="0"/>
                <w:sz w:val="32"/>
                <w:highlight w:val="none"/>
              </w:rPr>
              <w:t>（盖单位公章）</w:t>
            </w:r>
          </w:p>
        </w:tc>
      </w:tr>
      <w:tr w14:paraId="43E3D975">
        <w:tblPrEx>
          <w:tblCellMar>
            <w:top w:w="0" w:type="dxa"/>
            <w:left w:w="108" w:type="dxa"/>
            <w:bottom w:w="0" w:type="dxa"/>
            <w:right w:w="108" w:type="dxa"/>
          </w:tblCellMar>
        </w:tblPrEx>
        <w:trPr>
          <w:trHeight w:val="694" w:hRule="atLeast"/>
          <w:jc w:val="center"/>
        </w:trPr>
        <w:tc>
          <w:tcPr>
            <w:tcW w:w="2151" w:type="dxa"/>
            <w:noWrap w:val="0"/>
            <w:vAlign w:val="center"/>
          </w:tcPr>
          <w:p w14:paraId="411BEEEB">
            <w:pPr>
              <w:pStyle w:val="11"/>
              <w:keepNext w:val="0"/>
              <w:keepLines w:val="0"/>
              <w:suppressLineNumbers w:val="0"/>
              <w:snapToGrid w:val="0"/>
              <w:spacing w:before="0" w:beforeAutospacing="0" w:after="0" w:afterAutospacing="0"/>
              <w:ind w:left="0" w:right="0"/>
              <w:jc w:val="center"/>
              <w:rPr>
                <w:rFonts w:hint="eastAsia" w:ascii="仿宋" w:hAnsi="仿宋" w:eastAsia="仿宋" w:cs="仿宋"/>
                <w:b/>
                <w:bCs/>
                <w:snapToGrid w:val="0"/>
                <w:color w:val="auto"/>
                <w:kern w:val="0"/>
                <w:sz w:val="32"/>
                <w:highlight w:val="none"/>
              </w:rPr>
            </w:pPr>
            <w:r>
              <w:rPr>
                <w:rFonts w:hint="eastAsia" w:ascii="仿宋" w:hAnsi="仿宋" w:eastAsia="仿宋" w:cs="仿宋"/>
                <w:b/>
                <w:bCs/>
                <w:snapToGrid w:val="0"/>
                <w:color w:val="auto"/>
                <w:kern w:val="0"/>
                <w:sz w:val="32"/>
                <w:highlight w:val="none"/>
              </w:rPr>
              <w:t>招标代理：</w:t>
            </w:r>
          </w:p>
        </w:tc>
        <w:tc>
          <w:tcPr>
            <w:tcW w:w="7391" w:type="dxa"/>
            <w:noWrap w:val="0"/>
            <w:vAlign w:val="center"/>
          </w:tcPr>
          <w:p w14:paraId="4153B118">
            <w:pPr>
              <w:pStyle w:val="11"/>
              <w:keepNext w:val="0"/>
              <w:keepLines w:val="0"/>
              <w:suppressLineNumbers w:val="0"/>
              <w:snapToGrid w:val="0"/>
              <w:spacing w:before="0" w:beforeAutospacing="0" w:after="0" w:afterAutospacing="0"/>
              <w:ind w:left="0" w:right="0"/>
              <w:jc w:val="left"/>
              <w:rPr>
                <w:rFonts w:hint="eastAsia" w:ascii="仿宋" w:hAnsi="仿宋" w:eastAsia="仿宋" w:cs="仿宋"/>
                <w:b/>
                <w:bCs/>
                <w:snapToGrid w:val="0"/>
                <w:color w:val="auto"/>
                <w:kern w:val="0"/>
                <w:sz w:val="32"/>
                <w:highlight w:val="none"/>
              </w:rPr>
            </w:pPr>
            <w:r>
              <w:rPr>
                <w:rFonts w:hint="eastAsia" w:ascii="仿宋" w:hAnsi="仿宋" w:eastAsia="仿宋" w:cs="仿宋"/>
                <w:b/>
                <w:bCs/>
                <w:snapToGrid w:val="0"/>
                <w:color w:val="auto"/>
                <w:kern w:val="0"/>
                <w:sz w:val="32"/>
                <w:highlight w:val="none"/>
                <w:u w:val="single"/>
                <w:lang w:val="en-US" w:eastAsia="zh-CN"/>
              </w:rPr>
              <w:t xml:space="preserve">浙江科佳工程咨询有限公司 </w:t>
            </w:r>
            <w:r>
              <w:rPr>
                <w:rFonts w:hint="eastAsia" w:ascii="仿宋" w:hAnsi="仿宋" w:eastAsia="仿宋" w:cs="仿宋"/>
                <w:b/>
                <w:bCs/>
                <w:snapToGrid w:val="0"/>
                <w:color w:val="auto"/>
                <w:kern w:val="0"/>
                <w:sz w:val="32"/>
                <w:highlight w:val="none"/>
              </w:rPr>
              <w:t>（盖单位公章）</w:t>
            </w:r>
          </w:p>
        </w:tc>
      </w:tr>
      <w:tr w14:paraId="3D0A3B9C">
        <w:tblPrEx>
          <w:tblCellMar>
            <w:top w:w="0" w:type="dxa"/>
            <w:left w:w="108" w:type="dxa"/>
            <w:bottom w:w="0" w:type="dxa"/>
            <w:right w:w="108" w:type="dxa"/>
          </w:tblCellMar>
        </w:tblPrEx>
        <w:trPr>
          <w:trHeight w:val="562" w:hRule="atLeast"/>
          <w:jc w:val="center"/>
        </w:trPr>
        <w:tc>
          <w:tcPr>
            <w:tcW w:w="9542" w:type="dxa"/>
            <w:gridSpan w:val="2"/>
            <w:noWrap w:val="0"/>
            <w:vAlign w:val="center"/>
          </w:tcPr>
          <w:p w14:paraId="5B8E4215">
            <w:pPr>
              <w:pStyle w:val="11"/>
              <w:keepNext w:val="0"/>
              <w:keepLines w:val="0"/>
              <w:suppressLineNumbers w:val="0"/>
              <w:snapToGrid w:val="0"/>
              <w:spacing w:before="0" w:beforeAutospacing="0" w:after="0" w:afterAutospacing="0"/>
              <w:ind w:left="0" w:right="0"/>
              <w:jc w:val="center"/>
              <w:rPr>
                <w:rFonts w:hint="eastAsia" w:ascii="仿宋" w:hAnsi="仿宋" w:eastAsia="仿宋" w:cs="仿宋"/>
                <w:b/>
                <w:bCs/>
                <w:snapToGrid w:val="0"/>
                <w:color w:val="auto"/>
                <w:kern w:val="0"/>
                <w:sz w:val="32"/>
                <w:highlight w:val="none"/>
                <w:lang w:val="en-US" w:eastAsia="zh-CN"/>
              </w:rPr>
            </w:pPr>
            <w:r>
              <w:rPr>
                <w:rFonts w:hint="eastAsia" w:ascii="仿宋" w:hAnsi="仿宋" w:eastAsia="仿宋" w:cs="仿宋"/>
                <w:b/>
                <w:bCs/>
                <w:snapToGrid w:val="0"/>
                <w:color w:val="auto"/>
                <w:sz w:val="32"/>
                <w:highlight w:val="none"/>
              </w:rPr>
              <w:t>日期：</w:t>
            </w:r>
            <w:r>
              <w:rPr>
                <w:rFonts w:hint="eastAsia" w:ascii="仿宋" w:hAnsi="仿宋" w:eastAsia="仿宋" w:cs="仿宋"/>
                <w:b/>
                <w:bCs/>
                <w:snapToGrid w:val="0"/>
                <w:color w:val="auto"/>
                <w:sz w:val="32"/>
                <w:highlight w:val="none"/>
                <w:lang w:val="en-US" w:eastAsia="zh-CN"/>
              </w:rPr>
              <w:t>2025</w:t>
            </w:r>
            <w:r>
              <w:rPr>
                <w:rFonts w:hint="eastAsia" w:ascii="仿宋" w:hAnsi="仿宋" w:eastAsia="仿宋" w:cs="仿宋"/>
                <w:b/>
                <w:bCs/>
                <w:snapToGrid w:val="0"/>
                <w:color w:val="auto"/>
                <w:kern w:val="0"/>
                <w:sz w:val="32"/>
                <w:highlight w:val="none"/>
              </w:rPr>
              <w:t>年</w:t>
            </w:r>
            <w:r>
              <w:rPr>
                <w:rFonts w:hint="eastAsia" w:ascii="仿宋" w:hAnsi="仿宋" w:eastAsia="仿宋" w:cs="仿宋"/>
                <w:b/>
                <w:bCs/>
                <w:snapToGrid w:val="0"/>
                <w:color w:val="auto"/>
                <w:kern w:val="0"/>
                <w:sz w:val="32"/>
                <w:highlight w:val="none"/>
                <w:lang w:val="en-US" w:eastAsia="zh-CN"/>
              </w:rPr>
              <w:t xml:space="preserve">  5 </w:t>
            </w:r>
            <w:r>
              <w:rPr>
                <w:rFonts w:hint="eastAsia" w:ascii="仿宋" w:hAnsi="仿宋" w:eastAsia="仿宋" w:cs="仿宋"/>
                <w:b/>
                <w:bCs/>
                <w:snapToGrid w:val="0"/>
                <w:color w:val="auto"/>
                <w:kern w:val="0"/>
                <w:sz w:val="32"/>
                <w:highlight w:val="none"/>
              </w:rPr>
              <w:t>月</w:t>
            </w:r>
            <w:r>
              <w:rPr>
                <w:rFonts w:hint="eastAsia" w:ascii="仿宋" w:hAnsi="仿宋" w:eastAsia="仿宋" w:cs="仿宋"/>
                <w:b/>
                <w:bCs/>
                <w:snapToGrid w:val="0"/>
                <w:color w:val="auto"/>
                <w:kern w:val="0"/>
                <w:sz w:val="32"/>
                <w:highlight w:val="none"/>
                <w:lang w:val="en-US" w:eastAsia="zh-CN"/>
              </w:rPr>
              <w:t xml:space="preserve"> 22  日</w:t>
            </w:r>
          </w:p>
        </w:tc>
      </w:tr>
    </w:tbl>
    <w:p w14:paraId="58050377">
      <w:pPr>
        <w:widowControl/>
        <w:jc w:val="left"/>
        <w:rPr>
          <w:rFonts w:hint="eastAsia" w:ascii="仿宋" w:hAnsi="仿宋" w:eastAsia="仿宋" w:cs="仿宋"/>
          <w:b/>
          <w:bCs/>
          <w:color w:val="000000"/>
          <w:sz w:val="32"/>
          <w:szCs w:val="32"/>
          <w:highlight w:val="none"/>
        </w:rPr>
        <w:sectPr>
          <w:pgSz w:w="11905" w:h="16838"/>
          <w:pgMar w:top="1440" w:right="1080" w:bottom="1440" w:left="1080" w:header="567" w:footer="454" w:gutter="0"/>
          <w:pgBorders>
            <w:top w:val="none" w:sz="0" w:space="0"/>
            <w:left w:val="none" w:sz="0" w:space="0"/>
            <w:bottom w:val="none" w:sz="0" w:space="0"/>
            <w:right w:val="none" w:sz="0" w:space="0"/>
          </w:pgBorders>
          <w:pgNumType w:fmt="decimal" w:start="1"/>
          <w:cols w:space="0" w:num="1"/>
          <w:rtlGutter w:val="0"/>
          <w:docGrid w:linePitch="579" w:charSpace="0"/>
        </w:sectPr>
      </w:pPr>
    </w:p>
    <w:p w14:paraId="09F75182">
      <w:pPr>
        <w:pStyle w:val="9"/>
        <w:spacing w:before="64" w:line="227" w:lineRule="auto"/>
        <w:jc w:val="right"/>
        <w:rPr>
          <w:rFonts w:hint="eastAsia" w:eastAsia="仿宋_GB2312"/>
          <w:lang w:eastAsia="zh-CN"/>
        </w:rPr>
      </w:pPr>
      <w:r>
        <w:rPr>
          <w:rFonts w:hint="eastAsia" w:ascii="仿宋_GB2312" w:hAnsi="仿宋_GB2312" w:eastAsia="仿宋_GB2312" w:cs="仿宋_GB2312"/>
          <w:color w:val="auto"/>
          <w:sz w:val="32"/>
          <w:highlight w:val="none"/>
          <w:shd w:val="clear" w:color="auto" w:fill="FFFFFF"/>
        </w:rPr>
        <w:t>项目</w:t>
      </w:r>
      <w:r>
        <w:rPr>
          <w:rFonts w:ascii="仿宋_GB2312" w:hAnsi="仿宋_GB2312" w:eastAsia="仿宋_GB2312" w:cs="仿宋_GB2312"/>
          <w:color w:val="auto"/>
          <w:sz w:val="32"/>
          <w:highlight w:val="none"/>
          <w:shd w:val="clear" w:color="auto" w:fill="FFFFFF"/>
        </w:rPr>
        <w:t>编号：</w:t>
      </w:r>
      <w:r>
        <w:rPr>
          <w:rFonts w:hint="eastAsia" w:cs="仿宋"/>
          <w:b/>
          <w:i w:val="0"/>
          <w:iCs w:val="0"/>
          <w:caps w:val="0"/>
          <w:color w:val="auto"/>
          <w:spacing w:val="0"/>
          <w:sz w:val="32"/>
          <w:szCs w:val="32"/>
          <w:shd w:val="clear"/>
          <w:lang w:eastAsia="zh-CN"/>
        </w:rPr>
        <w:t>滨5202505000171001</w:t>
      </w:r>
    </w:p>
    <w:p w14:paraId="3684BF24">
      <w:pPr>
        <w:pStyle w:val="9"/>
        <w:spacing w:before="315" w:line="221" w:lineRule="auto"/>
        <w:ind w:left="360" w:hanging="360" w:hangingChars="100"/>
        <w:jc w:val="center"/>
        <w:rPr>
          <w:rFonts w:hint="eastAsia" w:eastAsia="方正大标宋简体"/>
          <w:color w:val="auto"/>
          <w:highlight w:val="none"/>
          <w:lang w:eastAsia="zh-CN"/>
        </w:rPr>
      </w:pPr>
      <w:r>
        <w:rPr>
          <w:rFonts w:hint="default" w:ascii="方正大标宋简体" w:hAnsi="方正大标宋简体" w:eastAsia="方正大标宋简体" w:cs="方正大标宋简体"/>
          <w:color w:val="auto"/>
          <w:spacing w:val="0"/>
          <w:sz w:val="36"/>
          <w:szCs w:val="21"/>
          <w:highlight w:val="none"/>
          <w:shd w:val="clear" w:color="auto" w:fill="FFFFFF"/>
          <w:lang w:eastAsia="en-US"/>
        </w:rPr>
        <w:t>市域供水联通保障工程（九溪水厂过江通道）地震安全性评价服务</w:t>
      </w:r>
      <w:r>
        <w:rPr>
          <w:rFonts w:hint="default" w:ascii="方正大标宋简体" w:hAnsi="方正大标宋简体" w:eastAsia="方正大标宋简体" w:cs="方正大标宋简体"/>
          <w:color w:val="auto"/>
          <w:sz w:val="36"/>
          <w:szCs w:val="21"/>
          <w:highlight w:val="none"/>
          <w:shd w:val="clear" w:color="auto" w:fill="FFFFFF"/>
        </w:rPr>
        <w:t>货物</w:t>
      </w:r>
      <w:r>
        <w:rPr>
          <w:rFonts w:ascii="方正大标宋简体" w:hAnsi="方正大标宋简体" w:eastAsia="方正大标宋简体" w:cs="方正大标宋简体"/>
          <w:color w:val="auto"/>
          <w:sz w:val="36"/>
          <w:szCs w:val="21"/>
          <w:highlight w:val="none"/>
          <w:shd w:val="clear" w:color="auto" w:fill="FFFFFF"/>
        </w:rPr>
        <w:t>/服务</w:t>
      </w:r>
      <w:r>
        <w:rPr>
          <w:rFonts w:hint="default" w:ascii="方正大标宋简体" w:hAnsi="方正大标宋简体" w:eastAsia="方正大标宋简体" w:cs="方正大标宋简体"/>
          <w:color w:val="auto"/>
          <w:sz w:val="36"/>
          <w:szCs w:val="21"/>
          <w:highlight w:val="none"/>
          <w:shd w:val="clear" w:color="auto" w:fill="FFFFFF"/>
        </w:rPr>
        <w:t>交</w:t>
      </w:r>
      <w:r>
        <w:rPr>
          <w:rFonts w:hint="eastAsia" w:ascii="方正大标宋简体" w:hAnsi="方正大标宋简体" w:eastAsia="方正大标宋简体" w:cs="方正大标宋简体"/>
          <w:color w:val="auto"/>
          <w:sz w:val="36"/>
          <w:highlight w:val="none"/>
          <w:shd w:val="clear" w:color="auto" w:fill="FFFFFF"/>
        </w:rPr>
        <w:t>易</w:t>
      </w:r>
      <w:r>
        <w:rPr>
          <w:rFonts w:ascii="方正大标宋简体" w:hAnsi="方正大标宋简体" w:eastAsia="方正大标宋简体" w:cs="方正大标宋简体"/>
          <w:color w:val="auto"/>
          <w:sz w:val="36"/>
          <w:highlight w:val="none"/>
          <w:shd w:val="clear" w:color="auto" w:fill="FFFFFF"/>
        </w:rPr>
        <w:t>公告</w:t>
      </w:r>
      <w:r>
        <w:rPr>
          <w:rFonts w:hint="eastAsia" w:ascii="方正大标宋简体" w:hAnsi="方正大标宋简体" w:eastAsia="方正大标宋简体" w:cs="方正大标宋简体"/>
          <w:color w:val="auto"/>
          <w:sz w:val="36"/>
          <w:highlight w:val="none"/>
          <w:shd w:val="clear" w:color="auto" w:fill="FFFFFF"/>
          <w:lang w:eastAsia="zh-CN"/>
        </w:rPr>
        <w:t>（</w:t>
      </w:r>
      <w:r>
        <w:rPr>
          <w:rFonts w:hint="eastAsia" w:ascii="方正大标宋简体" w:hAnsi="方正大标宋简体" w:eastAsia="方正大标宋简体" w:cs="方正大标宋简体"/>
          <w:color w:val="auto"/>
          <w:sz w:val="36"/>
          <w:highlight w:val="none"/>
          <w:shd w:val="clear" w:color="auto" w:fill="FFFFFF"/>
          <w:lang w:val="en-US" w:eastAsia="zh-CN"/>
        </w:rPr>
        <w:t>代交易文件</w:t>
      </w:r>
      <w:r>
        <w:rPr>
          <w:rFonts w:hint="eastAsia" w:ascii="方正大标宋简体" w:hAnsi="方正大标宋简体" w:eastAsia="方正大标宋简体" w:cs="方正大标宋简体"/>
          <w:color w:val="auto"/>
          <w:sz w:val="36"/>
          <w:highlight w:val="none"/>
          <w:shd w:val="clear" w:color="auto" w:fill="FFFFFF"/>
          <w:lang w:eastAsia="zh-CN"/>
        </w:rPr>
        <w:t>）</w:t>
      </w:r>
    </w:p>
    <w:p w14:paraId="2C352ACC">
      <w:pPr>
        <w:pStyle w:val="5"/>
        <w:snapToGrid/>
        <w:spacing w:before="0" w:line="360" w:lineRule="auto"/>
        <w:jc w:val="both"/>
        <w:rPr>
          <w:rFonts w:hint="eastAsia"/>
          <w:color w:val="auto"/>
          <w:highlight w:val="none"/>
          <w:shd w:val="clear" w:color="auto" w:fill="FFFFFF"/>
          <w:lang w:eastAsia="zh-CN" w:bidi="ar"/>
        </w:rPr>
      </w:pPr>
      <w:r>
        <w:rPr>
          <w:rFonts w:hint="eastAsia"/>
          <w:color w:val="auto"/>
          <w:highlight w:val="none"/>
          <w:shd w:val="clear" w:color="auto" w:fill="FFFFFF"/>
          <w:lang w:eastAsia="zh-CN" w:bidi="ar"/>
        </w:rPr>
        <w:drawing>
          <wp:anchor distT="0" distB="0" distL="0" distR="0" simplePos="0" relativeHeight="251659264" behindDoc="0" locked="0" layoutInCell="1" allowOverlap="1">
            <wp:simplePos x="0" y="0"/>
            <wp:positionH relativeFrom="column">
              <wp:posOffset>5744210</wp:posOffset>
            </wp:positionH>
            <wp:positionV relativeFrom="paragraph">
              <wp:posOffset>582930</wp:posOffset>
            </wp:positionV>
            <wp:extent cx="6350" cy="2000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350" cy="200025"/>
                    </a:xfrm>
                    <a:prstGeom prst="rect">
                      <a:avLst/>
                    </a:prstGeom>
                  </pic:spPr>
                </pic:pic>
              </a:graphicData>
            </a:graphic>
          </wp:anchor>
        </w:drawing>
      </w:r>
      <w:r>
        <w:rPr>
          <w:rFonts w:hint="eastAsia"/>
          <w:color w:val="auto"/>
          <w:highlight w:val="none"/>
          <w:shd w:val="clear" w:color="auto" w:fill="FFFFFF"/>
          <w:lang w:eastAsia="zh-CN" w:bidi="ar"/>
        </w:rPr>
        <w:t>一、项目概况</w:t>
      </w:r>
    </w:p>
    <w:p w14:paraId="5F26D3D4">
      <w:pPr>
        <w:pStyle w:val="9"/>
        <w:keepNext w:val="0"/>
        <w:keepLines w:val="0"/>
        <w:pageBreakBefore w:val="0"/>
        <w:widowControl/>
        <w:kinsoku w:val="0"/>
        <w:wordWrap/>
        <w:overflowPunct/>
        <w:topLinePunct w:val="0"/>
        <w:autoSpaceDE w:val="0"/>
        <w:autoSpaceDN w:val="0"/>
        <w:bidi w:val="0"/>
        <w:adjustRightInd w:val="0"/>
        <w:snapToGrid w:val="0"/>
        <w:spacing w:before="276" w:line="360" w:lineRule="auto"/>
        <w:ind w:left="423"/>
        <w:textAlignment w:val="baseline"/>
        <w:rPr>
          <w:sz w:val="28"/>
          <w:szCs w:val="28"/>
        </w:rPr>
      </w:pPr>
      <w:r>
        <w:rPr>
          <w:spacing w:val="3"/>
          <w:sz w:val="28"/>
          <w:szCs w:val="28"/>
        </w:rPr>
        <w:t>1、项目名称</w:t>
      </w:r>
      <w:r>
        <w:rPr>
          <w:rFonts w:hint="eastAsia"/>
          <w:spacing w:val="3"/>
          <w:sz w:val="28"/>
          <w:szCs w:val="28"/>
          <w:lang w:eastAsia="zh-CN"/>
        </w:rPr>
        <w:t>：</w:t>
      </w:r>
      <w:r>
        <w:rPr>
          <w:rFonts w:hint="eastAsia"/>
          <w:spacing w:val="3"/>
          <w:sz w:val="28"/>
          <w:szCs w:val="28"/>
          <w:u w:val="single" w:color="auto"/>
          <w:lang w:eastAsia="zh-CN"/>
        </w:rPr>
        <w:t>市域供水联通保障工程（九溪水厂过江通道）地震</w:t>
      </w:r>
      <w:r>
        <w:rPr>
          <w:rFonts w:hint="eastAsia"/>
          <w:spacing w:val="3"/>
          <w:sz w:val="28"/>
          <w:szCs w:val="28"/>
          <w:u w:val="single" w:color="auto"/>
          <w:lang w:val="en-US" w:eastAsia="zh-CN"/>
        </w:rPr>
        <w:t>安全</w:t>
      </w:r>
      <w:r>
        <w:rPr>
          <w:rFonts w:hint="eastAsia"/>
          <w:spacing w:val="3"/>
          <w:sz w:val="28"/>
          <w:szCs w:val="28"/>
          <w:u w:val="single" w:color="auto"/>
          <w:lang w:eastAsia="zh-CN"/>
        </w:rPr>
        <w:t>性评价</w:t>
      </w:r>
      <w:r>
        <w:rPr>
          <w:spacing w:val="3"/>
          <w:sz w:val="28"/>
          <w:szCs w:val="28"/>
        </w:rPr>
        <w:t>；</w:t>
      </w:r>
    </w:p>
    <w:p w14:paraId="4092D5DA">
      <w:pPr>
        <w:pStyle w:val="9"/>
        <w:keepNext w:val="0"/>
        <w:keepLines w:val="0"/>
        <w:pageBreakBefore w:val="0"/>
        <w:widowControl/>
        <w:kinsoku w:val="0"/>
        <w:wordWrap/>
        <w:overflowPunct/>
        <w:topLinePunct w:val="0"/>
        <w:autoSpaceDE w:val="0"/>
        <w:autoSpaceDN w:val="0"/>
        <w:bidi w:val="0"/>
        <w:adjustRightInd w:val="0"/>
        <w:snapToGrid w:val="0"/>
        <w:spacing w:before="280" w:line="360" w:lineRule="auto"/>
        <w:ind w:left="403"/>
        <w:textAlignment w:val="baseline"/>
        <w:rPr>
          <w:sz w:val="28"/>
          <w:szCs w:val="28"/>
        </w:rPr>
      </w:pPr>
      <w:r>
        <w:rPr>
          <w:spacing w:val="2"/>
          <w:sz w:val="28"/>
          <w:szCs w:val="28"/>
        </w:rPr>
        <w:t>2、项目编号：</w:t>
      </w:r>
      <w:r>
        <w:rPr>
          <w:rFonts w:hint="eastAsia" w:cs="仿宋"/>
          <w:b w:val="0"/>
          <w:i w:val="0"/>
          <w:iCs w:val="0"/>
          <w:caps w:val="0"/>
          <w:color w:val="auto"/>
          <w:spacing w:val="2"/>
          <w:sz w:val="28"/>
          <w:szCs w:val="28"/>
          <w:highlight w:val="none"/>
          <w:u w:val="single"/>
          <w:shd w:val="clear"/>
          <w:lang w:eastAsia="zh-CN"/>
        </w:rPr>
        <w:t>滨5202505000171001</w:t>
      </w:r>
      <w:r>
        <w:rPr>
          <w:rFonts w:hint="eastAsia"/>
          <w:color w:val="auto"/>
          <w:spacing w:val="2"/>
          <w:sz w:val="28"/>
          <w:szCs w:val="28"/>
          <w:highlight w:val="none"/>
          <w:u w:val="single"/>
          <w:lang w:val="en-US" w:eastAsia="zh-CN"/>
        </w:rPr>
        <w:t xml:space="preserve"> </w:t>
      </w:r>
      <w:r>
        <w:rPr>
          <w:spacing w:val="2"/>
          <w:sz w:val="28"/>
          <w:szCs w:val="28"/>
        </w:rPr>
        <w:t>；</w:t>
      </w:r>
    </w:p>
    <w:p w14:paraId="0D1F50FB">
      <w:pPr>
        <w:pStyle w:val="9"/>
        <w:keepNext w:val="0"/>
        <w:keepLines w:val="0"/>
        <w:pageBreakBefore w:val="0"/>
        <w:widowControl/>
        <w:kinsoku w:val="0"/>
        <w:wordWrap/>
        <w:overflowPunct/>
        <w:topLinePunct w:val="0"/>
        <w:autoSpaceDE w:val="0"/>
        <w:autoSpaceDN w:val="0"/>
        <w:bidi w:val="0"/>
        <w:adjustRightInd w:val="0"/>
        <w:snapToGrid w:val="0"/>
        <w:spacing w:before="276" w:line="360" w:lineRule="auto"/>
        <w:ind w:left="406"/>
        <w:textAlignment w:val="baseline"/>
        <w:rPr>
          <w:spacing w:val="2"/>
          <w:sz w:val="28"/>
          <w:szCs w:val="28"/>
          <w:highlight w:val="none"/>
        </w:rPr>
      </w:pPr>
      <w:r>
        <w:rPr>
          <w:spacing w:val="2"/>
          <w:sz w:val="28"/>
          <w:szCs w:val="28"/>
        </w:rPr>
        <w:t>3、项目预算金额：</w:t>
      </w:r>
      <w:r>
        <w:rPr>
          <w:rFonts w:hint="eastAsia"/>
          <w:color w:val="auto"/>
          <w:spacing w:val="2"/>
          <w:sz w:val="28"/>
          <w:szCs w:val="28"/>
          <w:highlight w:val="none"/>
          <w:u w:val="single"/>
          <w:lang w:val="en-US" w:eastAsia="zh-CN"/>
        </w:rPr>
        <w:t>40.9867</w:t>
      </w:r>
      <w:r>
        <w:rPr>
          <w:rFonts w:hint="eastAsia"/>
          <w:spacing w:val="2"/>
          <w:sz w:val="28"/>
          <w:szCs w:val="28"/>
          <w:highlight w:val="none"/>
          <w:lang w:val="en-US" w:eastAsia="zh-CN"/>
        </w:rPr>
        <w:t>万</w:t>
      </w:r>
      <w:r>
        <w:rPr>
          <w:spacing w:val="2"/>
          <w:sz w:val="28"/>
          <w:szCs w:val="28"/>
          <w:highlight w:val="none"/>
        </w:rPr>
        <w:t>元；</w:t>
      </w:r>
    </w:p>
    <w:p w14:paraId="73528080">
      <w:pPr>
        <w:pStyle w:val="9"/>
        <w:keepNext w:val="0"/>
        <w:keepLines w:val="0"/>
        <w:pageBreakBefore w:val="0"/>
        <w:widowControl/>
        <w:kinsoku w:val="0"/>
        <w:wordWrap/>
        <w:overflowPunct/>
        <w:topLinePunct w:val="0"/>
        <w:autoSpaceDE w:val="0"/>
        <w:autoSpaceDN w:val="0"/>
        <w:bidi w:val="0"/>
        <w:adjustRightInd w:val="0"/>
        <w:snapToGrid w:val="0"/>
        <w:spacing w:before="276" w:line="360" w:lineRule="auto"/>
        <w:ind w:left="406"/>
        <w:textAlignment w:val="baseline"/>
        <w:rPr>
          <w:rFonts w:hint="eastAsia"/>
          <w:spacing w:val="2"/>
          <w:sz w:val="28"/>
          <w:szCs w:val="28"/>
        </w:rPr>
      </w:pPr>
      <w:r>
        <w:rPr>
          <w:rFonts w:hint="eastAsia"/>
          <w:spacing w:val="2"/>
          <w:sz w:val="28"/>
          <w:szCs w:val="28"/>
          <w:lang w:val="en-US" w:eastAsia="zh-CN"/>
        </w:rPr>
        <w:t>4、</w:t>
      </w:r>
      <w:r>
        <w:rPr>
          <w:spacing w:val="2"/>
          <w:sz w:val="28"/>
          <w:szCs w:val="28"/>
        </w:rPr>
        <w:t>最高限价：</w:t>
      </w:r>
      <w:r>
        <w:rPr>
          <w:rFonts w:hint="eastAsia"/>
          <w:spacing w:val="2"/>
          <w:sz w:val="28"/>
          <w:szCs w:val="28"/>
          <w:u w:val="single"/>
          <w:lang w:val="en-US" w:eastAsia="zh-CN"/>
        </w:rPr>
        <w:t xml:space="preserve">  39.8867 </w:t>
      </w:r>
      <w:r>
        <w:rPr>
          <w:rFonts w:hint="eastAsia"/>
          <w:spacing w:val="2"/>
          <w:sz w:val="28"/>
          <w:szCs w:val="28"/>
          <w:lang w:val="en-US" w:eastAsia="zh-CN"/>
        </w:rPr>
        <w:t>万</w:t>
      </w:r>
      <w:r>
        <w:rPr>
          <w:spacing w:val="2"/>
          <w:sz w:val="28"/>
          <w:szCs w:val="28"/>
        </w:rPr>
        <w:t>元；</w:t>
      </w:r>
      <w:r>
        <w:rPr>
          <w:rFonts w:hint="eastAsia"/>
          <w:spacing w:val="2"/>
          <w:sz w:val="28"/>
          <w:szCs w:val="28"/>
        </w:rPr>
        <w:t>合同总价应包含但不限于人工费、材料费、设备使用费、办公和生活设施费、交通费企业管理费、规费、利润、税金（本项目需开具增值税专用发票），以及有关部门评估费、专家评审费、会务费、行政审批费、组织报批等全部费用及政策性文件规定等一切相关费用，甲方将不承担其他任何相关费用。</w:t>
      </w:r>
    </w:p>
    <w:p w14:paraId="46BB0B37">
      <w:pPr>
        <w:pStyle w:val="9"/>
        <w:keepNext w:val="0"/>
        <w:keepLines w:val="0"/>
        <w:pageBreakBefore w:val="0"/>
        <w:widowControl/>
        <w:kinsoku w:val="0"/>
        <w:wordWrap/>
        <w:overflowPunct/>
        <w:topLinePunct w:val="0"/>
        <w:autoSpaceDE w:val="0"/>
        <w:autoSpaceDN w:val="0"/>
        <w:bidi w:val="0"/>
        <w:adjustRightInd w:val="0"/>
        <w:snapToGrid w:val="0"/>
        <w:spacing w:before="276" w:line="360" w:lineRule="auto"/>
        <w:ind w:left="420" w:leftChars="200"/>
        <w:textAlignment w:val="baseline"/>
        <w:rPr>
          <w:rFonts w:hint="eastAsia" w:ascii="仿宋" w:hAnsi="仿宋" w:eastAsia="仿宋" w:cs="仿宋"/>
          <w:color w:val="auto"/>
          <w:sz w:val="28"/>
          <w:szCs w:val="28"/>
          <w:highlight w:val="yellow"/>
          <w:u w:val="single"/>
        </w:rPr>
      </w:pPr>
      <w:r>
        <w:rPr>
          <w:rFonts w:hint="eastAsia" w:cs="仿宋_GB2312"/>
          <w:color w:val="auto"/>
          <w:sz w:val="24"/>
          <w:szCs w:val="28"/>
          <w:shd w:val="clear" w:color="auto" w:fill="FFFFFF"/>
          <w:lang w:val="en-US" w:eastAsia="zh-CN"/>
        </w:rPr>
        <w:t>5、</w:t>
      </w:r>
      <w:r>
        <w:rPr>
          <w:rFonts w:ascii="仿宋" w:hAnsi="仿宋" w:eastAsia="仿宋" w:cs="仿宋"/>
          <w:spacing w:val="-1"/>
          <w:sz w:val="28"/>
          <w:szCs w:val="28"/>
        </w:rPr>
        <w:t>合同履约期限</w:t>
      </w:r>
      <w:r>
        <w:rPr>
          <w:rFonts w:ascii="仿宋" w:hAnsi="仿宋" w:eastAsia="仿宋" w:cs="仿宋"/>
          <w:spacing w:val="-1"/>
          <w:sz w:val="28"/>
          <w:szCs w:val="28"/>
          <w:u w:val="none"/>
        </w:rPr>
        <w:t>：</w:t>
      </w:r>
      <w:r>
        <w:rPr>
          <w:rFonts w:hint="eastAsia" w:ascii="仿宋" w:hAnsi="仿宋" w:eastAsia="仿宋" w:cs="仿宋"/>
          <w:color w:val="000000"/>
          <w:spacing w:val="2"/>
          <w:sz w:val="28"/>
          <w:szCs w:val="28"/>
          <w:u w:val="single"/>
          <w:lang w:val="en-US" w:eastAsia="zh-CN"/>
        </w:rPr>
        <w:t>合同签订后30日历天内完成地震安全性评价成果报审稿编制,在</w:t>
      </w:r>
      <w:r>
        <w:rPr>
          <w:rFonts w:hint="eastAsia" w:ascii="仿宋" w:hAnsi="仿宋" w:eastAsia="仿宋" w:cs="仿宋"/>
          <w:b w:val="0"/>
          <w:bCs w:val="0"/>
          <w:color w:val="000000"/>
          <w:spacing w:val="2"/>
          <w:sz w:val="28"/>
          <w:szCs w:val="28"/>
          <w:u w:val="single"/>
          <w:shd w:val="clear"/>
          <w:lang w:val="en-US" w:eastAsia="zh-CN"/>
        </w:rPr>
        <w:t>地震安全性评价委员会评审</w:t>
      </w:r>
      <w:r>
        <w:rPr>
          <w:rFonts w:hint="eastAsia" w:ascii="仿宋" w:hAnsi="仿宋" w:eastAsia="仿宋" w:cs="仿宋"/>
          <w:color w:val="000000"/>
          <w:spacing w:val="2"/>
          <w:sz w:val="28"/>
          <w:szCs w:val="28"/>
          <w:u w:val="single"/>
          <w:lang w:val="en-US" w:eastAsia="zh-CN"/>
        </w:rPr>
        <w:t>后</w:t>
      </w:r>
      <w:r>
        <w:rPr>
          <w:rFonts w:hint="eastAsia" w:cs="仿宋"/>
          <w:color w:val="000000"/>
          <w:spacing w:val="2"/>
          <w:sz w:val="28"/>
          <w:szCs w:val="28"/>
          <w:u w:val="single"/>
          <w:lang w:val="en-US" w:eastAsia="zh-CN"/>
        </w:rPr>
        <w:t>3</w:t>
      </w:r>
      <w:r>
        <w:rPr>
          <w:rFonts w:hint="eastAsia" w:ascii="仿宋" w:hAnsi="仿宋" w:eastAsia="仿宋" w:cs="仿宋"/>
          <w:color w:val="000000"/>
          <w:spacing w:val="2"/>
          <w:sz w:val="28"/>
          <w:szCs w:val="28"/>
          <w:u w:val="single"/>
          <w:lang w:val="en-US" w:eastAsia="zh-CN"/>
        </w:rPr>
        <w:t>个日历天内完成</w:t>
      </w:r>
      <w:r>
        <w:rPr>
          <w:rFonts w:hint="eastAsia" w:cs="仿宋"/>
          <w:color w:val="000000"/>
          <w:spacing w:val="2"/>
          <w:sz w:val="28"/>
          <w:szCs w:val="28"/>
          <w:u w:val="single"/>
          <w:lang w:val="en-US" w:eastAsia="zh-CN"/>
        </w:rPr>
        <w:t>意见</w:t>
      </w:r>
      <w:r>
        <w:rPr>
          <w:rFonts w:hint="eastAsia" w:ascii="仿宋" w:hAnsi="仿宋" w:eastAsia="仿宋" w:cs="仿宋"/>
          <w:color w:val="000000"/>
          <w:spacing w:val="2"/>
          <w:sz w:val="28"/>
          <w:szCs w:val="28"/>
          <w:u w:val="single"/>
          <w:lang w:val="en-US" w:eastAsia="zh-CN"/>
        </w:rPr>
        <w:t>修改</w:t>
      </w:r>
      <w:r>
        <w:rPr>
          <w:rFonts w:hint="eastAsia" w:cs="仿宋"/>
          <w:color w:val="000000"/>
          <w:spacing w:val="2"/>
          <w:sz w:val="28"/>
          <w:szCs w:val="28"/>
          <w:u w:val="single"/>
          <w:lang w:val="en-US" w:eastAsia="zh-CN"/>
        </w:rPr>
        <w:t>，7</w:t>
      </w:r>
      <w:r>
        <w:rPr>
          <w:rFonts w:hint="eastAsia" w:ascii="仿宋" w:hAnsi="仿宋" w:eastAsia="仿宋" w:cs="仿宋"/>
          <w:color w:val="000000"/>
          <w:spacing w:val="2"/>
          <w:sz w:val="28"/>
          <w:szCs w:val="28"/>
          <w:u w:val="single"/>
          <w:lang w:val="en-US" w:eastAsia="zh-CN"/>
        </w:rPr>
        <w:t>个日历天内</w:t>
      </w:r>
      <w:r>
        <w:rPr>
          <w:rFonts w:hint="eastAsia" w:ascii="仿宋" w:hAnsi="仿宋" w:eastAsia="仿宋"/>
          <w:spacing w:val="2"/>
          <w:sz w:val="28"/>
          <w:szCs w:val="28"/>
          <w:u w:val="single"/>
        </w:rPr>
        <w:t>提交正式报告</w:t>
      </w:r>
      <w:r>
        <w:rPr>
          <w:rFonts w:hint="eastAsia" w:cs="仿宋"/>
          <w:color w:val="000000"/>
          <w:spacing w:val="2"/>
          <w:sz w:val="28"/>
          <w:szCs w:val="28"/>
          <w:u w:val="single"/>
          <w:lang w:val="en-US" w:eastAsia="zh-CN"/>
        </w:rPr>
        <w:t>上报</w:t>
      </w:r>
      <w:r>
        <w:rPr>
          <w:rFonts w:hint="eastAsia" w:ascii="仿宋" w:hAnsi="仿宋" w:eastAsia="仿宋" w:cs="仿宋"/>
          <w:color w:val="000000"/>
          <w:spacing w:val="2"/>
          <w:sz w:val="28"/>
          <w:szCs w:val="28"/>
          <w:u w:val="single"/>
          <w:lang w:val="en-US" w:eastAsia="zh-CN"/>
        </w:rPr>
        <w:t>审批</w:t>
      </w:r>
      <w:r>
        <w:rPr>
          <w:rFonts w:hint="eastAsia" w:cs="仿宋"/>
          <w:color w:val="000000"/>
          <w:spacing w:val="2"/>
          <w:sz w:val="28"/>
          <w:szCs w:val="28"/>
          <w:u w:val="single"/>
          <w:lang w:val="en-US" w:eastAsia="zh-CN"/>
        </w:rPr>
        <w:t>且</w:t>
      </w:r>
      <w:r>
        <w:rPr>
          <w:rFonts w:hint="eastAsia" w:ascii="仿宋" w:hAnsi="仿宋" w:eastAsia="仿宋"/>
          <w:spacing w:val="2"/>
          <w:sz w:val="28"/>
          <w:szCs w:val="28"/>
          <w:u w:val="single"/>
        </w:rPr>
        <w:t>获取</w:t>
      </w:r>
      <w:r>
        <w:rPr>
          <w:rFonts w:hint="eastAsia"/>
          <w:spacing w:val="2"/>
          <w:sz w:val="28"/>
          <w:szCs w:val="28"/>
          <w:u w:val="single"/>
          <w:lang w:val="en-US" w:eastAsia="zh-CN"/>
        </w:rPr>
        <w:t>省级</w:t>
      </w:r>
      <w:r>
        <w:rPr>
          <w:rFonts w:hint="eastAsia" w:cs="仿宋"/>
          <w:color w:val="000000"/>
          <w:spacing w:val="2"/>
          <w:sz w:val="28"/>
          <w:szCs w:val="28"/>
          <w:u w:val="single"/>
          <w:lang w:val="en-US" w:eastAsia="zh-CN"/>
        </w:rPr>
        <w:t>地震</w:t>
      </w:r>
      <w:r>
        <w:rPr>
          <w:rFonts w:hint="eastAsia" w:ascii="仿宋" w:hAnsi="仿宋" w:eastAsia="仿宋" w:cs="仿宋"/>
          <w:color w:val="000000"/>
          <w:spacing w:val="2"/>
          <w:sz w:val="28"/>
          <w:szCs w:val="28"/>
          <w:u w:val="single"/>
          <w:lang w:val="en-US" w:eastAsia="zh-CN"/>
        </w:rPr>
        <w:t>主管部门</w:t>
      </w:r>
      <w:r>
        <w:rPr>
          <w:rFonts w:hint="eastAsia" w:ascii="仿宋" w:hAnsi="仿宋" w:eastAsia="仿宋"/>
          <w:spacing w:val="2"/>
          <w:sz w:val="28"/>
          <w:szCs w:val="28"/>
          <w:u w:val="single"/>
        </w:rPr>
        <w:t>批复文件</w:t>
      </w:r>
      <w:r>
        <w:rPr>
          <w:rFonts w:hint="eastAsia" w:ascii="仿宋" w:hAnsi="仿宋" w:eastAsia="仿宋" w:cs="仿宋"/>
          <w:color w:val="000000"/>
          <w:spacing w:val="2"/>
          <w:sz w:val="28"/>
          <w:szCs w:val="28"/>
          <w:u w:val="single"/>
        </w:rPr>
        <w:t>。</w:t>
      </w:r>
    </w:p>
    <w:p w14:paraId="1C471664">
      <w:pPr>
        <w:pStyle w:val="9"/>
        <w:keepNext w:val="0"/>
        <w:keepLines w:val="0"/>
        <w:pageBreakBefore w:val="0"/>
        <w:widowControl/>
        <w:kinsoku w:val="0"/>
        <w:wordWrap/>
        <w:overflowPunct/>
        <w:topLinePunct w:val="0"/>
        <w:autoSpaceDE w:val="0"/>
        <w:autoSpaceDN w:val="0"/>
        <w:bidi w:val="0"/>
        <w:adjustRightInd w:val="0"/>
        <w:snapToGrid w:val="0"/>
        <w:spacing w:before="276" w:line="360" w:lineRule="auto"/>
        <w:ind w:left="406"/>
        <w:textAlignment w:val="baseline"/>
        <w:rPr>
          <w:spacing w:val="-1"/>
          <w:sz w:val="28"/>
          <w:szCs w:val="28"/>
        </w:rPr>
      </w:pPr>
      <w:r>
        <w:rPr>
          <w:spacing w:val="-1"/>
          <w:sz w:val="28"/>
          <w:szCs w:val="28"/>
        </w:rPr>
        <w:t>6、项目资金来源：</w:t>
      </w:r>
      <w:r>
        <w:rPr>
          <w:rFonts w:hint="default"/>
          <w:spacing w:val="-1"/>
          <w:sz w:val="28"/>
          <w:szCs w:val="28"/>
          <w:u w:val="none" w:color="auto"/>
          <w:lang w:eastAsia="en-US"/>
        </w:rPr>
        <w:t>财政</w:t>
      </w:r>
      <w:r>
        <w:rPr>
          <w:spacing w:val="-1"/>
          <w:sz w:val="28"/>
          <w:szCs w:val="28"/>
          <w:u w:val="none" w:color="auto"/>
        </w:rPr>
        <w:t>资金</w:t>
      </w:r>
      <w:r>
        <w:rPr>
          <w:spacing w:val="-1"/>
          <w:sz w:val="28"/>
          <w:szCs w:val="28"/>
        </w:rPr>
        <w:t>；</w:t>
      </w:r>
    </w:p>
    <w:p w14:paraId="10B2A1F8">
      <w:pPr>
        <w:pStyle w:val="9"/>
        <w:keepNext w:val="0"/>
        <w:keepLines w:val="0"/>
        <w:pageBreakBefore w:val="0"/>
        <w:widowControl/>
        <w:kinsoku w:val="0"/>
        <w:wordWrap/>
        <w:overflowPunct/>
        <w:topLinePunct w:val="0"/>
        <w:autoSpaceDE w:val="0"/>
        <w:autoSpaceDN w:val="0"/>
        <w:bidi w:val="0"/>
        <w:adjustRightInd w:val="0"/>
        <w:snapToGrid w:val="0"/>
        <w:spacing w:before="278" w:line="360" w:lineRule="auto"/>
        <w:ind w:left="407"/>
        <w:textAlignment w:val="baseline"/>
        <w:rPr>
          <w:sz w:val="28"/>
          <w:szCs w:val="28"/>
        </w:rPr>
      </w:pPr>
      <w:r>
        <w:rPr>
          <w:spacing w:val="2"/>
          <w:sz w:val="28"/>
          <w:szCs w:val="28"/>
        </w:rPr>
        <w:t>7、采购方式：</w:t>
      </w:r>
      <w:r>
        <w:rPr>
          <w:spacing w:val="2"/>
          <w:sz w:val="28"/>
          <w:szCs w:val="28"/>
          <w:u w:val="single" w:color="auto"/>
        </w:rPr>
        <w:t>公开竞标</w:t>
      </w:r>
      <w:r>
        <w:rPr>
          <w:spacing w:val="2"/>
          <w:sz w:val="28"/>
          <w:szCs w:val="28"/>
        </w:rPr>
        <w:t>；</w:t>
      </w:r>
    </w:p>
    <w:p w14:paraId="5F7CC496">
      <w:pPr>
        <w:pStyle w:val="9"/>
        <w:keepNext w:val="0"/>
        <w:keepLines w:val="0"/>
        <w:pageBreakBefore w:val="0"/>
        <w:widowControl/>
        <w:kinsoku w:val="0"/>
        <w:wordWrap/>
        <w:overflowPunct/>
        <w:topLinePunct w:val="0"/>
        <w:autoSpaceDE w:val="0"/>
        <w:autoSpaceDN w:val="0"/>
        <w:bidi w:val="0"/>
        <w:adjustRightInd w:val="0"/>
        <w:snapToGrid w:val="0"/>
        <w:spacing w:before="278" w:line="360" w:lineRule="auto"/>
        <w:ind w:left="401"/>
        <w:textAlignment w:val="baseline"/>
        <w:rPr>
          <w:sz w:val="28"/>
          <w:szCs w:val="28"/>
        </w:rPr>
      </w:pPr>
      <w:r>
        <w:rPr>
          <w:spacing w:val="-9"/>
          <w:sz w:val="28"/>
          <w:szCs w:val="28"/>
        </w:rPr>
        <w:t>8、联合体响应：</w:t>
      </w:r>
      <w:r>
        <w:rPr>
          <w:spacing w:val="-47"/>
          <w:sz w:val="28"/>
          <w:szCs w:val="28"/>
        </w:rPr>
        <w:t xml:space="preserve"> </w:t>
      </w:r>
      <w:r>
        <w:rPr>
          <w:rFonts w:hint="eastAsia"/>
          <w:spacing w:val="-9"/>
          <w:sz w:val="28"/>
          <w:szCs w:val="28"/>
          <w:lang w:eastAsia="zh-CN"/>
        </w:rPr>
        <w:t>☑</w:t>
      </w:r>
      <w:r>
        <w:rPr>
          <w:spacing w:val="-9"/>
          <w:sz w:val="28"/>
          <w:szCs w:val="28"/>
        </w:rPr>
        <w:t>不接受</w:t>
      </w:r>
      <w:r>
        <w:rPr>
          <w:spacing w:val="47"/>
          <w:sz w:val="28"/>
          <w:szCs w:val="28"/>
        </w:rPr>
        <w:t xml:space="preserve"> </w:t>
      </w:r>
      <w:r>
        <w:rPr>
          <w:spacing w:val="-9"/>
          <w:sz w:val="28"/>
          <w:szCs w:val="28"/>
        </w:rPr>
        <w:t>□接受。</w:t>
      </w:r>
    </w:p>
    <w:p w14:paraId="0D8ED893">
      <w:pPr>
        <w:pStyle w:val="5"/>
        <w:snapToGrid/>
        <w:spacing w:before="0" w:line="360" w:lineRule="auto"/>
        <w:jc w:val="both"/>
        <w:rPr>
          <w:rFonts w:hint="eastAsia"/>
          <w:color w:val="auto"/>
          <w:highlight w:val="none"/>
          <w:shd w:val="clear" w:color="auto" w:fill="FFFFFF"/>
          <w:lang w:eastAsia="zh-CN" w:bidi="ar"/>
        </w:rPr>
      </w:pPr>
      <w:r>
        <w:rPr>
          <w:rFonts w:hint="eastAsia"/>
          <w:color w:val="auto"/>
          <w:spacing w:val="0"/>
          <w:highlight w:val="none"/>
          <w:shd w:val="clear" w:color="auto" w:fill="FFFFFF"/>
          <w:lang w:eastAsia="zh-CN" w:bidi="ar"/>
        </w:rPr>
        <w:t>二、采购需求</w:t>
      </w:r>
    </w:p>
    <w:p w14:paraId="3B9CAFB0">
      <w:pPr>
        <w:widowControl w:val="0"/>
        <w:numPr>
          <w:ilvl w:val="-1"/>
          <w:numId w:val="0"/>
        </w:numPr>
        <w:kinsoku/>
        <w:wordWrap w:val="0"/>
        <w:autoSpaceDE/>
        <w:autoSpaceDN/>
        <w:adjustRightInd/>
        <w:snapToGrid/>
        <w:spacing w:before="0" w:line="360" w:lineRule="auto"/>
        <w:ind w:firstLine="0" w:firstLineChars="0"/>
        <w:jc w:val="both"/>
        <w:textAlignment w:val="auto"/>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eastAsia="zh-CN"/>
        </w:rPr>
        <w:drawing>
          <wp:anchor distT="0" distB="0" distL="0" distR="0" simplePos="0" relativeHeight="251660288" behindDoc="0" locked="0" layoutInCell="1" allowOverlap="1">
            <wp:simplePos x="0" y="0"/>
            <wp:positionH relativeFrom="column">
              <wp:posOffset>5744210</wp:posOffset>
            </wp:positionH>
            <wp:positionV relativeFrom="paragraph">
              <wp:posOffset>582930</wp:posOffset>
            </wp:positionV>
            <wp:extent cx="6350" cy="200025"/>
            <wp:effectExtent l="0" t="0" r="8890" b="13335"/>
            <wp:wrapNone/>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7"/>
                    <a:stretch>
                      <a:fillRect/>
                    </a:stretch>
                  </pic:blipFill>
                  <pic:spPr>
                    <a:xfrm>
                      <a:off x="0" y="0"/>
                      <a:ext cx="6350" cy="200025"/>
                    </a:xfrm>
                    <a:prstGeom prst="rect">
                      <a:avLst/>
                    </a:prstGeom>
                  </pic:spPr>
                </pic:pic>
              </a:graphicData>
            </a:graphic>
          </wp:anchor>
        </w:drawing>
      </w:r>
      <w:r>
        <w:rPr>
          <w:rFonts w:hint="eastAsia" w:ascii="仿宋" w:hAnsi="仿宋" w:eastAsia="仿宋" w:cs="仿宋"/>
          <w:b w:val="0"/>
          <w:bCs w:val="0"/>
          <w:color w:val="auto"/>
          <w:sz w:val="28"/>
          <w:szCs w:val="28"/>
          <w:highlight w:val="none"/>
          <w:shd w:val="clear" w:color="auto" w:fill="FFFFFF"/>
          <w:lang w:val="en-US" w:eastAsia="zh-CN"/>
        </w:rPr>
        <w:t>1）</w:t>
      </w:r>
      <w:r>
        <w:rPr>
          <w:rFonts w:hint="eastAsia" w:ascii="仿宋" w:hAnsi="仿宋" w:eastAsia="仿宋" w:cs="仿宋"/>
          <w:b w:val="0"/>
          <w:bCs w:val="0"/>
          <w:color w:val="auto"/>
          <w:sz w:val="28"/>
          <w:szCs w:val="28"/>
          <w:highlight w:val="none"/>
          <w:shd w:val="clear" w:color="auto" w:fill="FFFFFF"/>
          <w:lang w:eastAsia="zh-CN"/>
        </w:rPr>
        <w:t>项目背景</w:t>
      </w:r>
    </w:p>
    <w:p w14:paraId="0B55B2C5">
      <w:pPr>
        <w:keepNext w:val="0"/>
        <w:keepLines w:val="0"/>
        <w:widowControl/>
        <w:suppressLineNumbers w:val="0"/>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color w:val="auto"/>
          <w:spacing w:val="0"/>
          <w:sz w:val="28"/>
          <w:szCs w:val="28"/>
          <w:highlight w:val="none"/>
          <w:u w:val="none"/>
          <w:shd w:val="clear" w:color="auto" w:fill="FFFFFF"/>
          <w:lang w:eastAsia="zh-CN"/>
        </w:rPr>
        <w:t>市域供水联通保障工程（九溪水厂过江通道）</w:t>
      </w:r>
      <w:r>
        <w:rPr>
          <w:rFonts w:hint="eastAsia" w:ascii="仿宋" w:hAnsi="仿宋" w:eastAsia="仿宋" w:cs="仿宋"/>
          <w:color w:val="auto"/>
          <w:spacing w:val="0"/>
          <w:sz w:val="28"/>
          <w:szCs w:val="28"/>
          <w:highlight w:val="none"/>
          <w:u w:val="single"/>
          <w:shd w:val="clear" w:color="auto" w:fill="FFFFFF"/>
          <w:lang w:eastAsia="zh-CN"/>
        </w:rPr>
        <w:t>，</w:t>
      </w:r>
      <w:r>
        <w:rPr>
          <w:rFonts w:hint="eastAsia" w:ascii="仿宋" w:hAnsi="仿宋" w:eastAsia="仿宋" w:cs="仿宋"/>
          <w:snapToGrid w:val="0"/>
          <w:color w:val="000000"/>
          <w:kern w:val="0"/>
          <w:sz w:val="28"/>
          <w:szCs w:val="28"/>
          <w:u w:val="single"/>
          <w:lang w:val="en-US" w:eastAsia="zh-CN" w:bidi="ar"/>
        </w:rPr>
        <w:t>根据《杭州市供排水专项（一体化）规划（2021-2035）》，为提高江南、江北的供水安全性，规划增加之江至滨江的过江供水管道，形成江南、江北片区互联互通的供水格局。滨江区与西湖区实现互联互通新建管线，主要为新建供水管DN1600 长度约3.2公里，新建供水管 DN1200 长度约1.1 公里，新建过江盾构管廊一座内径 5.5m，外径 6.2m，长度约 为 1.8 公里。工程总投资约 37733.75 万元，工程直接费合计 31943.00 万元</w:t>
      </w:r>
    </w:p>
    <w:p w14:paraId="200293E6">
      <w:pPr>
        <w:keepNext w:val="0"/>
        <w:keepLines w:val="0"/>
        <w:widowControl/>
        <w:suppressLineNumbers w:val="0"/>
        <w:kinsoku/>
        <w:topLinePunct/>
        <w:autoSpaceDE/>
        <w:autoSpaceDN/>
        <w:spacing w:line="360" w:lineRule="auto"/>
        <w:ind w:firstLine="560" w:firstLineChars="200"/>
        <w:jc w:val="both"/>
        <w:textAlignment w:val="auto"/>
        <w:rPr>
          <w:rFonts w:hint="eastAsia" w:ascii="仿宋" w:hAnsi="仿宋" w:eastAsia="仿宋" w:cs="仿宋"/>
          <w:sz w:val="28"/>
          <w:szCs w:val="28"/>
          <w:u w:val="none"/>
        </w:rPr>
      </w:pPr>
      <w:r>
        <w:rPr>
          <w:rFonts w:hint="eastAsia" w:ascii="仿宋" w:hAnsi="仿宋" w:eastAsia="仿宋" w:cs="仿宋"/>
          <w:kern w:val="0"/>
          <w:sz w:val="28"/>
          <w:szCs w:val="28"/>
          <w:lang w:eastAsia="zh-CN"/>
        </w:rPr>
        <w:t>依</w:t>
      </w:r>
      <w:r>
        <w:rPr>
          <w:rFonts w:hint="eastAsia" w:ascii="仿宋" w:hAnsi="仿宋" w:eastAsia="仿宋" w:cs="仿宋"/>
          <w:kern w:val="0"/>
          <w:sz w:val="28"/>
          <w:szCs w:val="28"/>
        </w:rPr>
        <w:t>据《浙江省防震减灾条例》第十六条之规定，新建、扩建、改建各类建设工程，必须满足抗震设防标准。特别是</w:t>
      </w:r>
      <w:r>
        <w:rPr>
          <w:rFonts w:hint="eastAsia" w:ascii="仿宋" w:hAnsi="仿宋" w:eastAsia="仿宋" w:cs="仿宋"/>
          <w:kern w:val="0"/>
          <w:sz w:val="28"/>
          <w:szCs w:val="28"/>
          <w:lang w:eastAsia="zh-CN"/>
        </w:rPr>
        <w:t>本条</w:t>
      </w:r>
      <w:r>
        <w:rPr>
          <w:rFonts w:hint="eastAsia" w:ascii="仿宋" w:hAnsi="仿宋" w:eastAsia="仿宋" w:cs="仿宋"/>
          <w:kern w:val="0"/>
          <w:sz w:val="28"/>
          <w:szCs w:val="28"/>
        </w:rPr>
        <w:t>第五</w:t>
      </w:r>
      <w:r>
        <w:rPr>
          <w:rFonts w:hint="eastAsia" w:ascii="仿宋" w:hAnsi="仿宋" w:eastAsia="仿宋" w:cs="仿宋"/>
          <w:kern w:val="0"/>
          <w:sz w:val="28"/>
          <w:szCs w:val="28"/>
          <w:lang w:eastAsia="zh-CN"/>
        </w:rPr>
        <w:t>项</w:t>
      </w:r>
      <w:r>
        <w:rPr>
          <w:rFonts w:hint="eastAsia" w:ascii="仿宋" w:hAnsi="仿宋" w:eastAsia="仿宋" w:cs="仿宋"/>
          <w:kern w:val="0"/>
          <w:sz w:val="28"/>
          <w:szCs w:val="28"/>
        </w:rPr>
        <w:t>明确指出，大中城市主要供电、供水、供气、输油管（网）的调度控制工程，必须开展地震安全性评价工作。</w:t>
      </w:r>
      <w:r>
        <w:rPr>
          <w:rFonts w:hint="eastAsia" w:ascii="仿宋" w:hAnsi="仿宋" w:eastAsia="仿宋" w:cs="仿宋"/>
          <w:kern w:val="0"/>
          <w:sz w:val="28"/>
          <w:szCs w:val="28"/>
          <w:lang w:eastAsia="zh-CN"/>
        </w:rPr>
        <w:t>市域供水联通保障工程（</w:t>
      </w:r>
      <w:r>
        <w:rPr>
          <w:rFonts w:hint="eastAsia" w:ascii="仿宋" w:hAnsi="仿宋" w:eastAsia="仿宋" w:cs="仿宋"/>
          <w:kern w:val="0"/>
          <w:sz w:val="28"/>
          <w:szCs w:val="28"/>
        </w:rPr>
        <w:t>九溪水厂过江通道</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，需编制地震安全</w:t>
      </w:r>
      <w:r>
        <w:rPr>
          <w:rFonts w:hint="eastAsia" w:ascii="仿宋" w:hAnsi="仿宋" w:eastAsia="仿宋" w:cs="仿宋"/>
          <w:kern w:val="0"/>
          <w:sz w:val="28"/>
          <w:szCs w:val="28"/>
          <w:lang w:eastAsia="zh-CN"/>
        </w:rPr>
        <w:t>性</w:t>
      </w:r>
      <w:r>
        <w:rPr>
          <w:rFonts w:hint="eastAsia" w:ascii="仿宋" w:hAnsi="仿宋" w:eastAsia="仿宋" w:cs="仿宋"/>
          <w:kern w:val="0"/>
          <w:sz w:val="28"/>
          <w:szCs w:val="28"/>
        </w:rPr>
        <w:t>评价报告，并</w:t>
      </w:r>
      <w:r>
        <w:rPr>
          <w:rFonts w:hint="eastAsia" w:ascii="仿宋" w:hAnsi="仿宋" w:eastAsia="仿宋" w:cs="仿宋"/>
          <w:kern w:val="0"/>
          <w:sz w:val="28"/>
          <w:szCs w:val="28"/>
          <w:lang w:eastAsia="zh-CN"/>
        </w:rPr>
        <w:t>上报省地震局</w:t>
      </w:r>
      <w:r>
        <w:rPr>
          <w:rFonts w:hint="eastAsia" w:ascii="仿宋" w:hAnsi="仿宋" w:eastAsia="仿宋" w:cs="仿宋"/>
          <w:kern w:val="0"/>
          <w:sz w:val="28"/>
          <w:szCs w:val="28"/>
        </w:rPr>
        <w:t>最终批复。</w:t>
      </w:r>
    </w:p>
    <w:p w14:paraId="3FD08DB2">
      <w:pPr>
        <w:widowControl w:val="0"/>
        <w:numPr>
          <w:ilvl w:val="-1"/>
          <w:numId w:val="0"/>
        </w:numPr>
        <w:kinsoku/>
        <w:wordWrap w:val="0"/>
        <w:autoSpaceDE/>
        <w:autoSpaceDN/>
        <w:adjustRightInd/>
        <w:snapToGrid/>
        <w:spacing w:before="0" w:line="360" w:lineRule="auto"/>
        <w:ind w:firstLine="403" w:firstLineChars="0"/>
        <w:jc w:val="both"/>
        <w:textAlignment w:val="auto"/>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2）</w:t>
      </w:r>
      <w:r>
        <w:rPr>
          <w:rFonts w:hint="eastAsia" w:ascii="仿宋" w:hAnsi="仿宋" w:eastAsia="仿宋" w:cs="仿宋"/>
          <w:b w:val="0"/>
          <w:bCs w:val="0"/>
          <w:color w:val="auto"/>
          <w:sz w:val="28"/>
          <w:szCs w:val="28"/>
          <w:highlight w:val="none"/>
          <w:shd w:val="clear" w:color="auto" w:fill="FFFFFF"/>
          <w:lang w:eastAsia="zh-CN"/>
        </w:rPr>
        <w:t>服务内容</w:t>
      </w:r>
      <w:r>
        <w:rPr>
          <w:rFonts w:hint="eastAsia" w:ascii="仿宋" w:hAnsi="仿宋" w:eastAsia="仿宋" w:cs="仿宋"/>
          <w:b w:val="0"/>
          <w:bCs w:val="0"/>
          <w:color w:val="auto"/>
          <w:sz w:val="28"/>
          <w:szCs w:val="28"/>
          <w:highlight w:val="none"/>
          <w:shd w:val="clear" w:color="auto" w:fill="FFFFFF"/>
          <w:lang w:val="en-US" w:eastAsia="zh-CN"/>
        </w:rPr>
        <w:t>及要求</w:t>
      </w:r>
      <w:r>
        <w:rPr>
          <w:rFonts w:hint="eastAsia" w:ascii="仿宋" w:hAnsi="仿宋" w:eastAsia="仿宋" w:cs="仿宋"/>
          <w:b w:val="0"/>
          <w:bCs w:val="0"/>
          <w:color w:val="auto"/>
          <w:sz w:val="28"/>
          <w:szCs w:val="28"/>
          <w:highlight w:val="none"/>
          <w:shd w:val="clear" w:color="auto" w:fill="FFFFFF"/>
          <w:lang w:eastAsia="zh-CN"/>
        </w:rPr>
        <w:t>：</w:t>
      </w:r>
    </w:p>
    <w:p w14:paraId="2E4F0321">
      <w:pPr>
        <w:widowControl w:val="0"/>
        <w:kinsoku/>
        <w:wordWrap w:val="0"/>
        <w:autoSpaceDE/>
        <w:autoSpaceDN/>
        <w:adjustRightInd/>
        <w:snapToGrid/>
        <w:spacing w:before="0" w:line="360" w:lineRule="auto"/>
        <w:ind w:left="0" w:leftChars="0"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按照</w:t>
      </w:r>
      <w:r>
        <w:rPr>
          <w:rFonts w:hint="eastAsia" w:ascii="仿宋" w:hAnsi="仿宋" w:eastAsia="仿宋" w:cs="仿宋"/>
          <w:color w:val="auto"/>
          <w:sz w:val="28"/>
          <w:szCs w:val="28"/>
          <w:highlight w:val="none"/>
          <w:shd w:val="clear" w:color="auto" w:fill="FFFFFF"/>
          <w:lang w:eastAsia="zh-CN"/>
        </w:rPr>
        <w:t>《工程场地地震安全性评价》（GB 17741—2005）及《浙江省区域地震安全性评价工作技术大纲》</w:t>
      </w:r>
      <w:r>
        <w:rPr>
          <w:rFonts w:hint="eastAsia" w:ascii="仿宋" w:hAnsi="仿宋" w:eastAsia="仿宋" w:cs="仿宋"/>
          <w:snapToGrid w:val="0"/>
          <w:color w:val="auto"/>
          <w:kern w:val="0"/>
          <w:sz w:val="28"/>
          <w:szCs w:val="28"/>
          <w:highlight w:val="none"/>
          <w:shd w:val="clear" w:color="auto" w:fill="FFFFFF"/>
          <w:lang w:val="en-US" w:eastAsia="zh-CN" w:bidi="ar"/>
        </w:rPr>
        <w:t>以及相应的标准、规范开展相关工作，主要工作内容有（包括但不限于）</w:t>
      </w:r>
      <w:r>
        <w:rPr>
          <w:rFonts w:hint="eastAsia" w:ascii="仿宋" w:hAnsi="仿宋" w:eastAsia="仿宋" w:cs="仿宋"/>
          <w:color w:val="auto"/>
          <w:sz w:val="28"/>
          <w:szCs w:val="28"/>
          <w:highlight w:val="none"/>
          <w:shd w:val="clear" w:color="auto" w:fill="FFFFFF"/>
          <w:lang w:eastAsia="zh-CN"/>
        </w:rPr>
        <w:t>：</w:t>
      </w:r>
    </w:p>
    <w:p w14:paraId="742B198E">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1、</w:t>
      </w:r>
      <w:r>
        <w:rPr>
          <w:rFonts w:hint="eastAsia" w:ascii="仿宋" w:hAnsi="仿宋" w:eastAsia="仿宋" w:cs="仿宋"/>
          <w:color w:val="auto"/>
          <w:sz w:val="28"/>
          <w:szCs w:val="28"/>
          <w:highlight w:val="none"/>
          <w:shd w:val="clear" w:color="auto" w:fill="FFFFFF"/>
          <w:lang w:eastAsia="zh-CN"/>
        </w:rPr>
        <w:t>区域地震活动性和地震构造分析</w:t>
      </w:r>
    </w:p>
    <w:p w14:paraId="182161C1">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2、近场场区地震活动性和地震构造分析</w:t>
      </w:r>
    </w:p>
    <w:p w14:paraId="7E99A218">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lang w:eastAsia="zh-CN"/>
        </w:rPr>
        <w:t>场地工程地震条件评价</w:t>
      </w:r>
    </w:p>
    <w:p w14:paraId="22BD275A">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4、</w:t>
      </w:r>
      <w:r>
        <w:rPr>
          <w:rFonts w:hint="eastAsia" w:ascii="仿宋" w:hAnsi="仿宋" w:eastAsia="仿宋" w:cs="仿宋"/>
          <w:color w:val="auto"/>
          <w:sz w:val="28"/>
          <w:szCs w:val="28"/>
          <w:highlight w:val="none"/>
          <w:shd w:val="clear" w:color="auto" w:fill="FFFFFF"/>
          <w:lang w:eastAsia="zh-CN"/>
        </w:rPr>
        <w:t>地震危险性概率分析</w:t>
      </w:r>
    </w:p>
    <w:p w14:paraId="22CC6AE2">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lang w:eastAsia="zh-CN"/>
        </w:rPr>
        <w:t>场地基岩地震动参数确定</w:t>
      </w:r>
    </w:p>
    <w:p w14:paraId="2ED5A423">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6、</w:t>
      </w:r>
      <w:r>
        <w:rPr>
          <w:rFonts w:hint="eastAsia" w:ascii="仿宋" w:hAnsi="仿宋" w:eastAsia="仿宋" w:cs="仿宋"/>
          <w:color w:val="auto"/>
          <w:sz w:val="28"/>
          <w:szCs w:val="28"/>
          <w:highlight w:val="none"/>
          <w:shd w:val="clear" w:color="auto" w:fill="FFFFFF"/>
          <w:lang w:eastAsia="zh-CN"/>
        </w:rPr>
        <w:t>场地设计地震动参数确定</w:t>
      </w:r>
    </w:p>
    <w:p w14:paraId="4DF6BD2A">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7、</w:t>
      </w:r>
      <w:r>
        <w:rPr>
          <w:rFonts w:hint="eastAsia" w:ascii="仿宋" w:hAnsi="仿宋" w:eastAsia="仿宋" w:cs="仿宋"/>
          <w:color w:val="auto"/>
          <w:sz w:val="28"/>
          <w:szCs w:val="28"/>
          <w:highlight w:val="none"/>
          <w:shd w:val="clear" w:color="auto" w:fill="FFFFFF"/>
          <w:lang w:eastAsia="zh-CN"/>
        </w:rPr>
        <w:t>地震地质灾害评价</w:t>
      </w:r>
    </w:p>
    <w:p w14:paraId="40B01708">
      <w:pPr>
        <w:keepNext w:val="0"/>
        <w:keepLines w:val="0"/>
        <w:widowControl w:val="0"/>
        <w:suppressLineNumbers w:val="0"/>
        <w:kinsoku/>
        <w:wordWrap w:val="0"/>
        <w:autoSpaceDE/>
        <w:autoSpaceDN/>
        <w:adjustRightInd/>
        <w:snapToGrid/>
        <w:spacing w:before="0" w:line="360" w:lineRule="auto"/>
        <w:ind w:firstLine="403"/>
        <w:jc w:val="both"/>
        <w:textAlignment w:val="auto"/>
        <w:rPr>
          <w:rFonts w:hint="eastAsia" w:ascii="仿宋" w:hAnsi="仿宋" w:eastAsia="仿宋" w:cs="仿宋"/>
          <w:snapToGrid w:val="0"/>
          <w:color w:val="auto"/>
          <w:kern w:val="0"/>
          <w:sz w:val="28"/>
          <w:szCs w:val="28"/>
          <w:highlight w:val="none"/>
          <w:shd w:val="clear" w:color="auto" w:fill="FFFFFF"/>
          <w:lang w:val="en-US" w:eastAsia="zh-CN" w:bidi="ar"/>
        </w:rPr>
      </w:pPr>
      <w:r>
        <w:rPr>
          <w:rFonts w:hint="eastAsia" w:ascii="仿宋" w:hAnsi="仿宋" w:eastAsia="仿宋" w:cs="仿宋"/>
          <w:color w:val="auto"/>
          <w:sz w:val="28"/>
          <w:szCs w:val="28"/>
          <w:highlight w:val="none"/>
          <w:shd w:val="clear" w:color="auto" w:fill="FFFFFF"/>
          <w:lang w:val="en-US" w:eastAsia="zh-CN"/>
        </w:rPr>
        <w:t>8、</w:t>
      </w:r>
      <w:r>
        <w:rPr>
          <w:rFonts w:hint="eastAsia" w:ascii="仿宋" w:hAnsi="仿宋" w:eastAsia="仿宋" w:cs="仿宋"/>
          <w:snapToGrid w:val="0"/>
          <w:color w:val="auto"/>
          <w:kern w:val="0"/>
          <w:sz w:val="28"/>
          <w:szCs w:val="28"/>
          <w:highlight w:val="none"/>
          <w:shd w:val="clear" w:color="auto" w:fill="FFFFFF"/>
          <w:lang w:val="en-US" w:eastAsia="zh-CN" w:bidi="ar"/>
        </w:rPr>
        <w:t>编制地震安全性评价技术咨询报告及协助办理报审、批复（或核准）等各项工作。</w:t>
      </w:r>
    </w:p>
    <w:p w14:paraId="1A23CFA9">
      <w:pPr>
        <w:widowControl w:val="0"/>
        <w:kinsoku/>
        <w:wordWrap w:val="0"/>
        <w:autoSpaceDE/>
        <w:autoSpaceDN/>
        <w:adjustRightInd/>
        <w:snapToGrid/>
        <w:spacing w:before="0" w:line="360" w:lineRule="auto"/>
        <w:ind w:left="0" w:leftChars="0" w:firstLine="403" w:firstLineChars="0"/>
        <w:jc w:val="both"/>
        <w:textAlignment w:val="auto"/>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以上工作具体内容可参照附表：</w:t>
      </w:r>
    </w:p>
    <w:p w14:paraId="03137F9C">
      <w:pPr>
        <w:pStyle w:val="9"/>
        <w:rPr>
          <w:rFonts w:hint="default" w:ascii="仿宋" w:hAnsi="仿宋" w:eastAsia="仿宋" w:cs="仿宋"/>
          <w:snapToGrid w:val="0"/>
          <w:color w:val="auto"/>
          <w:kern w:val="0"/>
          <w:sz w:val="28"/>
          <w:szCs w:val="28"/>
          <w:highlight w:val="none"/>
          <w:shd w:val="clear" w:color="auto" w:fill="FFFFFF"/>
          <w:lang w:val="en-US" w:eastAsia="zh-CN" w:bidi="ar"/>
        </w:rPr>
      </w:pPr>
      <w:r>
        <w:rPr>
          <w:rFonts w:hint="eastAsia" w:ascii="仿宋" w:hAnsi="仿宋" w:eastAsia="仿宋" w:cs="仿宋"/>
          <w:snapToGrid w:val="0"/>
          <w:color w:val="auto"/>
          <w:kern w:val="0"/>
          <w:sz w:val="28"/>
          <w:szCs w:val="28"/>
          <w:highlight w:val="none"/>
          <w:shd w:val="clear" w:color="auto" w:fill="FFFFFF"/>
          <w:lang w:val="en-US" w:eastAsia="zh-CN" w:bidi="ar"/>
        </w:rPr>
        <w:t>附表：</w:t>
      </w:r>
    </w:p>
    <w:tbl>
      <w:tblPr>
        <w:tblStyle w:val="21"/>
        <w:tblW w:w="8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1"/>
        <w:gridCol w:w="5661"/>
      </w:tblGrid>
      <w:tr w14:paraId="23BD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3301" w:type="dxa"/>
            <w:vAlign w:val="center"/>
          </w:tcPr>
          <w:p w14:paraId="51B4FB81">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spacing w:val="-4"/>
              </w:rPr>
              <w:t>类</w:t>
            </w:r>
            <w:r>
              <w:rPr>
                <w:spacing w:val="21"/>
              </w:rPr>
              <w:t xml:space="preserve"> </w:t>
            </w:r>
            <w:r>
              <w:rPr>
                <w:spacing w:val="-4"/>
              </w:rPr>
              <w:t>别</w:t>
            </w:r>
          </w:p>
        </w:tc>
        <w:tc>
          <w:tcPr>
            <w:tcW w:w="5661" w:type="dxa"/>
            <w:vAlign w:val="center"/>
          </w:tcPr>
          <w:p w14:paraId="397D7FE6">
            <w:pPr>
              <w:pStyle w:val="22"/>
              <w:spacing w:before="171" w:line="229" w:lineRule="auto"/>
              <w:jc w:val="center"/>
            </w:pPr>
            <w:r>
              <w:rPr>
                <w:spacing w:val="6"/>
              </w:rPr>
              <w:t>具体工作内容</w:t>
            </w:r>
          </w:p>
        </w:tc>
      </w:tr>
      <w:tr w14:paraId="38CBC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restart"/>
            <w:tcBorders>
              <w:bottom w:val="nil"/>
            </w:tcBorders>
            <w:vAlign w:val="center"/>
          </w:tcPr>
          <w:p w14:paraId="192CF27D">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5"/>
              </w:rPr>
              <w:t>区域地震活动性</w:t>
            </w:r>
            <w:r>
              <w:rPr>
                <w:spacing w:val="7"/>
              </w:rPr>
              <w:t>和地震构造分析</w:t>
            </w:r>
          </w:p>
        </w:tc>
        <w:tc>
          <w:tcPr>
            <w:tcW w:w="5661" w:type="dxa"/>
            <w:vAlign w:val="center"/>
          </w:tcPr>
          <w:p w14:paraId="791F2D56">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pPr>
            <w:r>
              <w:rPr>
                <w:spacing w:val="6"/>
              </w:rPr>
              <w:t>区域地震活动性分析</w:t>
            </w:r>
          </w:p>
        </w:tc>
      </w:tr>
      <w:tr w14:paraId="2B21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bottom w:val="nil"/>
            </w:tcBorders>
            <w:vAlign w:val="center"/>
          </w:tcPr>
          <w:p w14:paraId="237C9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5F85F584">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pPr>
            <w:r>
              <w:rPr>
                <w:spacing w:val="7"/>
              </w:rPr>
              <w:t>区域地震构造调查与综合分析</w:t>
            </w:r>
          </w:p>
        </w:tc>
      </w:tr>
      <w:tr w14:paraId="65F3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tcBorders>
            <w:vAlign w:val="center"/>
          </w:tcPr>
          <w:p w14:paraId="45326A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4F7B3EF1">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pPr>
            <w:r>
              <w:rPr>
                <w:spacing w:val="7"/>
              </w:rPr>
              <w:t>地震区、带划分</w:t>
            </w:r>
          </w:p>
        </w:tc>
      </w:tr>
      <w:tr w14:paraId="0BCBB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restart"/>
            <w:tcBorders>
              <w:bottom w:val="nil"/>
            </w:tcBorders>
            <w:vAlign w:val="center"/>
          </w:tcPr>
          <w:p w14:paraId="3ADF35B0">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近场地震活动性</w:t>
            </w:r>
            <w:r>
              <w:rPr>
                <w:spacing w:val="6"/>
              </w:rPr>
              <w:t>与地震构造分析</w:t>
            </w:r>
          </w:p>
        </w:tc>
        <w:tc>
          <w:tcPr>
            <w:tcW w:w="5661" w:type="dxa"/>
            <w:vAlign w:val="center"/>
          </w:tcPr>
          <w:p w14:paraId="491B319E">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pPr>
            <w:r>
              <w:rPr>
                <w:spacing w:val="8"/>
              </w:rPr>
              <w:t>近场地震活动性分析</w:t>
            </w:r>
          </w:p>
        </w:tc>
      </w:tr>
      <w:tr w14:paraId="6EF4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tcBorders>
            <w:vAlign w:val="center"/>
          </w:tcPr>
          <w:p w14:paraId="44A62F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34D22FCC">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pPr>
            <w:r>
              <w:rPr>
                <w:spacing w:val="8"/>
              </w:rPr>
              <w:t>近场和场区地震构造综合分析</w:t>
            </w:r>
          </w:p>
        </w:tc>
      </w:tr>
      <w:tr w14:paraId="25F6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301" w:type="dxa"/>
            <w:vAlign w:val="center"/>
          </w:tcPr>
          <w:p w14:paraId="67C932E6">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场地工程地震</w:t>
            </w:r>
            <w:r>
              <w:rPr>
                <w:spacing w:val="5"/>
              </w:rPr>
              <w:t>条件评价</w:t>
            </w:r>
          </w:p>
        </w:tc>
        <w:tc>
          <w:tcPr>
            <w:tcW w:w="5661" w:type="dxa"/>
            <w:vAlign w:val="center"/>
          </w:tcPr>
          <w:p w14:paraId="44729E09">
            <w:pPr>
              <w:pStyle w:val="22"/>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pPr>
            <w:r>
              <w:rPr>
                <w:spacing w:val="8"/>
              </w:rPr>
              <w:t>场地工程地震条件评价</w:t>
            </w:r>
          </w:p>
        </w:tc>
      </w:tr>
      <w:tr w14:paraId="53EB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restart"/>
            <w:tcBorders>
              <w:bottom w:val="nil"/>
            </w:tcBorders>
            <w:vAlign w:val="center"/>
          </w:tcPr>
          <w:p w14:paraId="4582A98E">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6"/>
              </w:rPr>
              <w:t>地震危险性概率分析</w:t>
            </w:r>
          </w:p>
        </w:tc>
        <w:tc>
          <w:tcPr>
            <w:tcW w:w="5661" w:type="dxa"/>
            <w:vAlign w:val="center"/>
          </w:tcPr>
          <w:p w14:paraId="33B8AB26">
            <w:pPr>
              <w:pStyle w:val="22"/>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pPr>
            <w:r>
              <w:rPr>
                <w:spacing w:val="6"/>
              </w:rPr>
              <w:t>潜在震源划分</w:t>
            </w:r>
          </w:p>
        </w:tc>
      </w:tr>
      <w:tr w14:paraId="6474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bottom w:val="nil"/>
            </w:tcBorders>
            <w:vAlign w:val="center"/>
          </w:tcPr>
          <w:p w14:paraId="7832A5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2E405702">
            <w:pPr>
              <w:pStyle w:val="22"/>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0"/>
              <w:jc w:val="center"/>
              <w:textAlignment w:val="baseline"/>
            </w:pPr>
            <w:r>
              <w:rPr>
                <w:spacing w:val="7"/>
              </w:rPr>
              <w:t>地震活动参数确定</w:t>
            </w:r>
          </w:p>
        </w:tc>
      </w:tr>
      <w:tr w14:paraId="28BB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bottom w:val="nil"/>
            </w:tcBorders>
            <w:vAlign w:val="center"/>
          </w:tcPr>
          <w:p w14:paraId="536268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6DA3385A">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pPr>
            <w:r>
              <w:rPr>
                <w:spacing w:val="8"/>
              </w:rPr>
              <w:t>地震危险性概率计算</w:t>
            </w:r>
          </w:p>
        </w:tc>
      </w:tr>
      <w:tr w14:paraId="2373F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bottom w:val="nil"/>
            </w:tcBorders>
            <w:vAlign w:val="center"/>
          </w:tcPr>
          <w:p w14:paraId="57E0EF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038E9921">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pPr>
            <w:r>
              <w:rPr>
                <w:spacing w:val="6"/>
              </w:rPr>
              <w:t>不确定性校正</w:t>
            </w:r>
          </w:p>
        </w:tc>
      </w:tr>
      <w:tr w14:paraId="4D90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continue"/>
            <w:tcBorders>
              <w:top w:val="nil"/>
            </w:tcBorders>
            <w:vAlign w:val="center"/>
          </w:tcPr>
          <w:p w14:paraId="156E24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425CB35D">
            <w:pPr>
              <w:pStyle w:val="22"/>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pPr>
            <w:r>
              <w:rPr>
                <w:spacing w:val="5"/>
              </w:rPr>
              <w:t>综合评价</w:t>
            </w:r>
          </w:p>
        </w:tc>
      </w:tr>
      <w:tr w14:paraId="2EF4E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restart"/>
            <w:tcBorders>
              <w:bottom w:val="nil"/>
            </w:tcBorders>
            <w:vAlign w:val="center"/>
          </w:tcPr>
          <w:p w14:paraId="68FE5E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p w14:paraId="55F2C2D8">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场地基岩地震动</w:t>
            </w:r>
            <w:r>
              <w:rPr>
                <w:spacing w:val="5"/>
              </w:rPr>
              <w:t>参数确定</w:t>
            </w:r>
          </w:p>
        </w:tc>
        <w:tc>
          <w:tcPr>
            <w:tcW w:w="5661" w:type="dxa"/>
            <w:vAlign w:val="center"/>
          </w:tcPr>
          <w:p w14:paraId="7ADF8CB3">
            <w:pPr>
              <w:pStyle w:val="22"/>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pPr>
            <w:r>
              <w:rPr>
                <w:spacing w:val="8"/>
              </w:rPr>
              <w:t>基岩反应谱衰减关系确定</w:t>
            </w:r>
          </w:p>
        </w:tc>
      </w:tr>
      <w:tr w14:paraId="46FC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3301" w:type="dxa"/>
            <w:vMerge w:val="continue"/>
            <w:tcBorders>
              <w:top w:val="nil"/>
              <w:bottom w:val="nil"/>
            </w:tcBorders>
            <w:vAlign w:val="center"/>
          </w:tcPr>
          <w:p w14:paraId="418D1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458FAEAB">
            <w:pPr>
              <w:pStyle w:val="22"/>
              <w:keepNext w:val="0"/>
              <w:keepLines w:val="0"/>
              <w:pageBreakBefore w:val="0"/>
              <w:widowControl/>
              <w:kinsoku w:val="0"/>
              <w:wordWrap/>
              <w:overflowPunct/>
              <w:topLinePunct w:val="0"/>
              <w:autoSpaceDE w:val="0"/>
              <w:autoSpaceDN w:val="0"/>
              <w:bidi w:val="0"/>
              <w:adjustRightInd w:val="0"/>
              <w:snapToGrid w:val="0"/>
              <w:spacing w:line="236" w:lineRule="auto"/>
              <w:ind w:left="0" w:right="0" w:firstLine="0"/>
              <w:jc w:val="center"/>
              <w:textAlignment w:val="baseline"/>
            </w:pPr>
            <w:r>
              <w:rPr>
                <w:spacing w:val="7"/>
              </w:rPr>
              <w:t>基岩目标反应谱和形状函数确定（</w:t>
            </w:r>
            <w:r>
              <w:rPr>
                <w:rFonts w:ascii="Times New Roman" w:hAnsi="Times New Roman" w:eastAsia="Times New Roman" w:cs="Times New Roman"/>
                <w:spacing w:val="7"/>
              </w:rPr>
              <w:t>1</w:t>
            </w:r>
            <w:r>
              <w:rPr>
                <w:spacing w:val="7"/>
              </w:rPr>
              <w:t>个计算</w:t>
            </w:r>
            <w:r>
              <w:rPr>
                <w:spacing w:val="3"/>
              </w:rPr>
              <w:t>点，</w:t>
            </w:r>
            <w:r>
              <w:rPr>
                <w:rFonts w:ascii="Times New Roman" w:hAnsi="Times New Roman" w:eastAsia="Times New Roman" w:cs="Times New Roman"/>
                <w:spacing w:val="3"/>
              </w:rPr>
              <w:t>6</w:t>
            </w:r>
            <w:r>
              <w:rPr>
                <w:spacing w:val="3"/>
              </w:rPr>
              <w:t>个概率水准）</w:t>
            </w:r>
          </w:p>
        </w:tc>
      </w:tr>
      <w:tr w14:paraId="0FF28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3301" w:type="dxa"/>
            <w:vMerge w:val="continue"/>
            <w:tcBorders>
              <w:top w:val="nil"/>
            </w:tcBorders>
            <w:vAlign w:val="center"/>
          </w:tcPr>
          <w:p w14:paraId="451482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6A99A7CB">
            <w:pPr>
              <w:pStyle w:val="22"/>
              <w:keepNext w:val="0"/>
              <w:keepLines w:val="0"/>
              <w:pageBreakBefore w:val="0"/>
              <w:widowControl/>
              <w:kinsoku w:val="0"/>
              <w:wordWrap/>
              <w:overflowPunct/>
              <w:topLinePunct w:val="0"/>
              <w:autoSpaceDE w:val="0"/>
              <w:autoSpaceDN w:val="0"/>
              <w:bidi w:val="0"/>
              <w:adjustRightInd w:val="0"/>
              <w:snapToGrid w:val="0"/>
              <w:spacing w:line="233" w:lineRule="auto"/>
              <w:ind w:left="0" w:right="0" w:firstLine="0"/>
              <w:jc w:val="center"/>
              <w:textAlignment w:val="baseline"/>
            </w:pPr>
            <w:r>
              <w:rPr>
                <w:spacing w:val="4"/>
              </w:rPr>
              <w:t>基岩加速度时程（</w:t>
            </w:r>
            <w:r>
              <w:rPr>
                <w:spacing w:val="-43"/>
              </w:rPr>
              <w:t xml:space="preserve"> </w:t>
            </w:r>
            <w:r>
              <w:rPr>
                <w:rFonts w:ascii="Times New Roman" w:hAnsi="Times New Roman" w:eastAsia="Times New Roman" w:cs="Times New Roman"/>
                <w:spacing w:val="4"/>
              </w:rPr>
              <w:t>1</w:t>
            </w:r>
            <w:r>
              <w:rPr>
                <w:spacing w:val="4"/>
              </w:rPr>
              <w:t>个控制点，</w:t>
            </w:r>
            <w:r>
              <w:rPr>
                <w:rFonts w:ascii="Times New Roman" w:hAnsi="Times New Roman" w:eastAsia="Times New Roman" w:cs="Times New Roman"/>
                <w:spacing w:val="4"/>
              </w:rPr>
              <w:t>6</w:t>
            </w:r>
            <w:r>
              <w:rPr>
                <w:spacing w:val="4"/>
              </w:rPr>
              <w:t>个概率水</w:t>
            </w:r>
            <w:r>
              <w:rPr>
                <w:spacing w:val="5"/>
              </w:rPr>
              <w:t>准</w:t>
            </w:r>
            <w:r>
              <w:rPr>
                <w:rFonts w:hint="eastAsia"/>
                <w:spacing w:val="5"/>
                <w:lang w:eastAsia="zh-CN"/>
              </w:rPr>
              <w:t>，</w:t>
            </w:r>
            <w:r>
              <w:rPr>
                <w:spacing w:val="5"/>
              </w:rPr>
              <w:t>每个概率水准</w:t>
            </w:r>
            <w:r>
              <w:rPr>
                <w:spacing w:val="-33"/>
              </w:rPr>
              <w:t xml:space="preserve"> </w:t>
            </w:r>
            <w:r>
              <w:rPr>
                <w:rFonts w:ascii="Times New Roman" w:hAnsi="Times New Roman" w:eastAsia="Times New Roman" w:cs="Times New Roman"/>
                <w:spacing w:val="5"/>
              </w:rPr>
              <w:t>6</w:t>
            </w:r>
            <w:r>
              <w:rPr>
                <w:spacing w:val="5"/>
              </w:rPr>
              <w:t>条时程）</w:t>
            </w:r>
          </w:p>
        </w:tc>
      </w:tr>
      <w:tr w14:paraId="4FB4E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3301" w:type="dxa"/>
            <w:vMerge w:val="restart"/>
            <w:tcBorders>
              <w:bottom w:val="nil"/>
            </w:tcBorders>
            <w:vAlign w:val="center"/>
          </w:tcPr>
          <w:p w14:paraId="1896C613">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7"/>
              </w:rPr>
              <w:t>场地设计地震动</w:t>
            </w:r>
            <w:r>
              <w:rPr>
                <w:spacing w:val="5"/>
              </w:rPr>
              <w:t>参数确定</w:t>
            </w:r>
            <w:r>
              <w:rPr>
                <w:spacing w:val="2"/>
              </w:rPr>
              <w:t>（</w:t>
            </w:r>
            <w:r>
              <w:rPr>
                <w:rFonts w:ascii="Times New Roman" w:hAnsi="Times New Roman" w:eastAsia="Times New Roman" w:cs="Times New Roman"/>
                <w:spacing w:val="2"/>
              </w:rPr>
              <w:t>3</w:t>
            </w:r>
            <w:r>
              <w:rPr>
                <w:spacing w:val="2"/>
              </w:rPr>
              <w:t>个计算点</w:t>
            </w:r>
            <w:r>
              <w:rPr>
                <w:rFonts w:hint="eastAsia"/>
                <w:spacing w:val="2"/>
                <w:lang w:eastAsia="zh-CN"/>
              </w:rPr>
              <w:t>，</w:t>
            </w:r>
            <w:r>
              <w:rPr>
                <w:spacing w:val="2"/>
              </w:rPr>
              <w:t>每</w:t>
            </w:r>
            <w:r>
              <w:rPr>
                <w:spacing w:val="1"/>
              </w:rPr>
              <w:t>点</w:t>
            </w:r>
            <w:r>
              <w:rPr>
                <w:spacing w:val="-34"/>
              </w:rPr>
              <w:t xml:space="preserve"> </w:t>
            </w:r>
            <w:r>
              <w:rPr>
                <w:rFonts w:ascii="Times New Roman" w:hAnsi="Times New Roman" w:eastAsia="Times New Roman" w:cs="Times New Roman"/>
                <w:spacing w:val="1"/>
              </w:rPr>
              <w:t>6</w:t>
            </w:r>
            <w:r>
              <w:rPr>
                <w:spacing w:val="1"/>
              </w:rPr>
              <w:t>个概率水准，</w:t>
            </w:r>
            <w:r>
              <w:rPr>
                <w:rFonts w:ascii="Times New Roman" w:hAnsi="Times New Roman" w:eastAsia="Times New Roman" w:cs="Times New Roman"/>
              </w:rPr>
              <w:t>1</w:t>
            </w:r>
            <w:r>
              <w:t>个阻尼比）</w:t>
            </w:r>
          </w:p>
        </w:tc>
        <w:tc>
          <w:tcPr>
            <w:tcW w:w="5661" w:type="dxa"/>
            <w:vAlign w:val="center"/>
          </w:tcPr>
          <w:p w14:paraId="21B8F6D9">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pPr>
            <w:r>
              <w:rPr>
                <w:spacing w:val="7"/>
              </w:rPr>
              <w:t>计算模型及模型参数确定（</w:t>
            </w:r>
            <w:r>
              <w:rPr>
                <w:rFonts w:ascii="Times New Roman" w:hAnsi="Times New Roman" w:eastAsia="Times New Roman" w:cs="Times New Roman"/>
                <w:spacing w:val="7"/>
              </w:rPr>
              <w:t>3</w:t>
            </w:r>
            <w:r>
              <w:rPr>
                <w:spacing w:val="7"/>
              </w:rPr>
              <w:t>个计算点）</w:t>
            </w:r>
          </w:p>
        </w:tc>
      </w:tr>
      <w:tr w14:paraId="484D9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301" w:type="dxa"/>
            <w:vMerge w:val="continue"/>
            <w:tcBorders>
              <w:top w:val="nil"/>
              <w:bottom w:val="nil"/>
            </w:tcBorders>
            <w:vAlign w:val="center"/>
          </w:tcPr>
          <w:p w14:paraId="3857A9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5DCC09D5">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pPr>
            <w:r>
              <w:rPr>
                <w:spacing w:val="7"/>
              </w:rPr>
              <w:t>场地地震动效应分析（</w:t>
            </w:r>
            <w:r>
              <w:rPr>
                <w:rFonts w:ascii="Times New Roman" w:hAnsi="Times New Roman" w:eastAsia="Times New Roman" w:cs="Times New Roman"/>
                <w:spacing w:val="7"/>
              </w:rPr>
              <w:t>3</w:t>
            </w:r>
            <w:r>
              <w:rPr>
                <w:rFonts w:ascii="Times New Roman" w:hAnsi="Times New Roman" w:eastAsia="Times New Roman" w:cs="Times New Roman"/>
                <w:spacing w:val="26"/>
              </w:rPr>
              <w:t xml:space="preserve"> </w:t>
            </w:r>
            <w:r>
              <w:rPr>
                <w:spacing w:val="7"/>
              </w:rPr>
              <w:t>个计算点，每点</w:t>
            </w:r>
            <w:r>
              <w:rPr>
                <w:spacing w:val="-36"/>
              </w:rPr>
              <w:t xml:space="preserve"> </w:t>
            </w:r>
            <w:r>
              <w:rPr>
                <w:rFonts w:ascii="Times New Roman" w:hAnsi="Times New Roman" w:eastAsia="Times New Roman" w:cs="Times New Roman"/>
                <w:spacing w:val="7"/>
              </w:rPr>
              <w:t>6</w:t>
            </w:r>
            <w:r>
              <w:rPr>
                <w:spacing w:val="5"/>
              </w:rPr>
              <w:t>个概率水准）</w:t>
            </w:r>
          </w:p>
        </w:tc>
      </w:tr>
      <w:tr w14:paraId="08EE0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301" w:type="dxa"/>
            <w:vMerge w:val="continue"/>
            <w:tcBorders>
              <w:top w:val="nil"/>
              <w:bottom w:val="nil"/>
            </w:tcBorders>
            <w:vAlign w:val="center"/>
          </w:tcPr>
          <w:p w14:paraId="6710C3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38238F2D">
            <w:pPr>
              <w:pStyle w:val="22"/>
              <w:keepNext w:val="0"/>
              <w:keepLines w:val="0"/>
              <w:pageBreakBefore w:val="0"/>
              <w:widowControl/>
              <w:kinsoku w:val="0"/>
              <w:wordWrap/>
              <w:overflowPunct/>
              <w:topLinePunct w:val="0"/>
              <w:autoSpaceDE w:val="0"/>
              <w:autoSpaceDN w:val="0"/>
              <w:bidi w:val="0"/>
              <w:adjustRightInd w:val="0"/>
              <w:snapToGrid w:val="0"/>
              <w:spacing w:line="233" w:lineRule="auto"/>
              <w:ind w:left="0" w:right="0" w:firstLine="0"/>
              <w:jc w:val="center"/>
              <w:textAlignment w:val="baseline"/>
            </w:pPr>
            <w:r>
              <w:rPr>
                <w:spacing w:val="7"/>
              </w:rPr>
              <w:t>地震动参数与场地相关反应谱确定（</w:t>
            </w:r>
            <w:r>
              <w:rPr>
                <w:rFonts w:ascii="Times New Roman" w:hAnsi="Times New Roman" w:eastAsia="Times New Roman" w:cs="Times New Roman"/>
                <w:spacing w:val="7"/>
              </w:rPr>
              <w:t>3</w:t>
            </w:r>
            <w:r>
              <w:rPr>
                <w:spacing w:val="7"/>
              </w:rPr>
              <w:t>个计</w:t>
            </w:r>
            <w:r>
              <w:rPr>
                <w:spacing w:val="5"/>
              </w:rPr>
              <w:t>算点，每点</w:t>
            </w:r>
            <w:r>
              <w:rPr>
                <w:spacing w:val="-35"/>
              </w:rPr>
              <w:t xml:space="preserve"> </w:t>
            </w:r>
            <w:r>
              <w:rPr>
                <w:rFonts w:ascii="Times New Roman" w:hAnsi="Times New Roman" w:eastAsia="Times New Roman" w:cs="Times New Roman"/>
                <w:spacing w:val="5"/>
              </w:rPr>
              <w:t>6</w:t>
            </w:r>
            <w:r>
              <w:rPr>
                <w:spacing w:val="5"/>
              </w:rPr>
              <w:t>个概率水准）</w:t>
            </w:r>
          </w:p>
        </w:tc>
      </w:tr>
      <w:tr w14:paraId="7584F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301" w:type="dxa"/>
            <w:vMerge w:val="continue"/>
            <w:tcBorders>
              <w:top w:val="nil"/>
              <w:bottom w:val="nil"/>
            </w:tcBorders>
            <w:vAlign w:val="center"/>
          </w:tcPr>
          <w:p w14:paraId="0621D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6B461669">
            <w:pPr>
              <w:pStyle w:val="22"/>
              <w:keepNext w:val="0"/>
              <w:keepLines w:val="0"/>
              <w:pageBreakBefore w:val="0"/>
              <w:widowControl/>
              <w:kinsoku w:val="0"/>
              <w:wordWrap/>
              <w:overflowPunct/>
              <w:topLinePunct w:val="0"/>
              <w:autoSpaceDE w:val="0"/>
              <w:autoSpaceDN w:val="0"/>
              <w:bidi w:val="0"/>
              <w:adjustRightInd w:val="0"/>
              <w:snapToGrid w:val="0"/>
              <w:spacing w:line="233" w:lineRule="auto"/>
              <w:ind w:left="0" w:right="0" w:firstLine="0"/>
              <w:jc w:val="center"/>
              <w:textAlignment w:val="baseline"/>
            </w:pPr>
            <w:r>
              <w:rPr>
                <w:spacing w:val="7"/>
              </w:rPr>
              <w:t>场地设计地震动参数确定（</w:t>
            </w:r>
            <w:r>
              <w:rPr>
                <w:rFonts w:ascii="Times New Roman" w:hAnsi="Times New Roman" w:eastAsia="Times New Roman" w:cs="Times New Roman"/>
                <w:spacing w:val="7"/>
              </w:rPr>
              <w:t>3</w:t>
            </w:r>
            <w:r>
              <w:rPr>
                <w:spacing w:val="7"/>
              </w:rPr>
              <w:t>个计算点，每</w:t>
            </w:r>
            <w:r>
              <w:rPr>
                <w:spacing w:val="1"/>
              </w:rPr>
              <w:t>点</w:t>
            </w:r>
            <w:r>
              <w:rPr>
                <w:spacing w:val="-34"/>
              </w:rPr>
              <w:t xml:space="preserve"> </w:t>
            </w:r>
            <w:r>
              <w:rPr>
                <w:rFonts w:ascii="Times New Roman" w:hAnsi="Times New Roman" w:eastAsia="Times New Roman" w:cs="Times New Roman"/>
                <w:spacing w:val="1"/>
              </w:rPr>
              <w:t>6</w:t>
            </w:r>
            <w:r>
              <w:rPr>
                <w:spacing w:val="1"/>
              </w:rPr>
              <w:t>个概率水准）</w:t>
            </w:r>
          </w:p>
        </w:tc>
      </w:tr>
      <w:tr w14:paraId="543CA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3301" w:type="dxa"/>
            <w:vMerge w:val="continue"/>
            <w:tcBorders>
              <w:top w:val="nil"/>
            </w:tcBorders>
            <w:vAlign w:val="center"/>
          </w:tcPr>
          <w:p w14:paraId="79426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661" w:type="dxa"/>
            <w:vAlign w:val="center"/>
          </w:tcPr>
          <w:p w14:paraId="38BADAF7">
            <w:pPr>
              <w:pStyle w:val="22"/>
              <w:keepNext w:val="0"/>
              <w:keepLines w:val="0"/>
              <w:pageBreakBefore w:val="0"/>
              <w:widowControl/>
              <w:kinsoku w:val="0"/>
              <w:wordWrap/>
              <w:overflowPunct/>
              <w:topLinePunct w:val="0"/>
              <w:autoSpaceDE w:val="0"/>
              <w:autoSpaceDN w:val="0"/>
              <w:bidi w:val="0"/>
              <w:adjustRightInd w:val="0"/>
              <w:snapToGrid w:val="0"/>
              <w:spacing w:line="233" w:lineRule="auto"/>
              <w:ind w:left="0" w:right="0" w:firstLine="0"/>
              <w:jc w:val="center"/>
              <w:textAlignment w:val="baseline"/>
            </w:pPr>
            <w:r>
              <w:rPr>
                <w:spacing w:val="7"/>
              </w:rPr>
              <w:t>设计加速度时程（</w:t>
            </w:r>
            <w:r>
              <w:rPr>
                <w:rFonts w:ascii="Times New Roman" w:hAnsi="Times New Roman" w:eastAsia="Times New Roman" w:cs="Times New Roman"/>
                <w:spacing w:val="7"/>
              </w:rPr>
              <w:t>6</w:t>
            </w:r>
            <w:r>
              <w:rPr>
                <w:spacing w:val="7"/>
              </w:rPr>
              <w:t>个概率水准，每个概率</w:t>
            </w:r>
            <w:r>
              <w:rPr>
                <w:spacing w:val="1"/>
              </w:rPr>
              <w:t>水准</w:t>
            </w:r>
            <w:r>
              <w:rPr>
                <w:spacing w:val="-34"/>
              </w:rPr>
              <w:t xml:space="preserve"> </w:t>
            </w:r>
            <w:r>
              <w:rPr>
                <w:rFonts w:ascii="Times New Roman" w:hAnsi="Times New Roman" w:eastAsia="Times New Roman" w:cs="Times New Roman"/>
                <w:spacing w:val="1"/>
              </w:rPr>
              <w:t>6</w:t>
            </w:r>
            <w:r>
              <w:rPr>
                <w:spacing w:val="1"/>
              </w:rPr>
              <w:t>条时程）</w:t>
            </w:r>
          </w:p>
        </w:tc>
      </w:tr>
      <w:tr w14:paraId="00DD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vAlign w:val="center"/>
          </w:tcPr>
          <w:p w14:paraId="7A4761C6">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5"/>
              </w:rPr>
              <w:t>地震地质灾害评估</w:t>
            </w:r>
          </w:p>
        </w:tc>
        <w:tc>
          <w:tcPr>
            <w:tcW w:w="5661" w:type="dxa"/>
            <w:vAlign w:val="center"/>
          </w:tcPr>
          <w:p w14:paraId="109EEAA1">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pPr>
            <w:r>
              <w:rPr>
                <w:spacing w:val="8"/>
              </w:rPr>
              <w:t>砂土液化、软土震陷等</w:t>
            </w:r>
          </w:p>
        </w:tc>
      </w:tr>
      <w:tr w14:paraId="42FB2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vMerge w:val="restart"/>
            <w:shd w:val="clear" w:color="auto" w:fill="auto"/>
            <w:vAlign w:val="center"/>
          </w:tcPr>
          <w:p w14:paraId="73B420D1">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spacing w:val="6"/>
              </w:rPr>
            </w:pPr>
          </w:p>
          <w:p w14:paraId="2573345E">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19"/>
                <w:szCs w:val="19"/>
                <w:lang w:val="en-US" w:eastAsia="en-US" w:bidi="ar-SA"/>
              </w:rPr>
            </w:pPr>
            <w:r>
              <w:rPr>
                <w:spacing w:val="6"/>
              </w:rPr>
              <w:t>工程地质条件</w:t>
            </w:r>
            <w:r>
              <w:rPr>
                <w:spacing w:val="2"/>
              </w:rPr>
              <w:t>勘测</w:t>
            </w:r>
          </w:p>
        </w:tc>
        <w:tc>
          <w:tcPr>
            <w:tcW w:w="5661" w:type="dxa"/>
            <w:shd w:val="clear" w:color="auto" w:fill="auto"/>
            <w:vAlign w:val="center"/>
          </w:tcPr>
          <w:p w14:paraId="7E1FDDF2">
            <w:pPr>
              <w:pStyle w:val="22"/>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ascii="仿宋" w:hAnsi="仿宋" w:eastAsia="仿宋" w:cs="仿宋"/>
                <w:snapToGrid w:val="0"/>
                <w:color w:val="000000"/>
                <w:kern w:val="0"/>
                <w:sz w:val="19"/>
                <w:szCs w:val="19"/>
                <w:lang w:val="en-US" w:eastAsia="en-US" w:bidi="ar-SA"/>
              </w:rPr>
            </w:pPr>
            <w:r>
              <w:rPr>
                <w:spacing w:val="9"/>
              </w:rPr>
              <w:t>控制性地震钻孔钻探取样及常规土工试验</w:t>
            </w:r>
            <w:r>
              <w:rPr>
                <w:spacing w:val="14"/>
              </w:rPr>
              <w:t>（</w:t>
            </w:r>
            <w:r>
              <w:rPr>
                <w:rFonts w:ascii="Times New Roman" w:hAnsi="Times New Roman" w:eastAsia="Times New Roman" w:cs="Times New Roman"/>
                <w:spacing w:val="14"/>
              </w:rPr>
              <w:t>3</w:t>
            </w:r>
            <w:r>
              <w:rPr>
                <w:spacing w:val="14"/>
              </w:rPr>
              <w:t>孔）</w:t>
            </w:r>
            <w:r>
              <w:rPr>
                <w:rFonts w:hint="eastAsia"/>
                <w:spacing w:val="14"/>
                <w:lang w:eastAsia="zh-CN"/>
              </w:rPr>
              <w:t>（</w:t>
            </w:r>
            <w:r>
              <w:rPr>
                <w:spacing w:val="1"/>
              </w:rPr>
              <w:t>由业主提供</w:t>
            </w:r>
            <w:r>
              <w:rPr>
                <w:rFonts w:hint="eastAsia"/>
                <w:spacing w:val="14"/>
                <w:lang w:eastAsia="zh-CN"/>
              </w:rPr>
              <w:t>）</w:t>
            </w:r>
          </w:p>
        </w:tc>
      </w:tr>
      <w:tr w14:paraId="4CED0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vMerge w:val="continue"/>
            <w:vAlign w:val="center"/>
          </w:tcPr>
          <w:p w14:paraId="7A953973">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5"/>
              </w:rPr>
            </w:pPr>
          </w:p>
        </w:tc>
        <w:tc>
          <w:tcPr>
            <w:tcW w:w="5661" w:type="dxa"/>
            <w:shd w:val="clear" w:color="auto" w:fill="auto"/>
            <w:vAlign w:val="center"/>
          </w:tcPr>
          <w:p w14:paraId="70B4B424">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7"/>
              </w:rPr>
              <w:t>控制性地震钻孔剪切波速测试（</w:t>
            </w:r>
            <w:r>
              <w:rPr>
                <w:rFonts w:ascii="Times New Roman" w:hAnsi="Times New Roman" w:eastAsia="Times New Roman" w:cs="Times New Roman"/>
                <w:spacing w:val="7"/>
              </w:rPr>
              <w:t>3</w:t>
            </w:r>
            <w:r>
              <w:rPr>
                <w:spacing w:val="7"/>
              </w:rPr>
              <w:t>孔）</w:t>
            </w:r>
          </w:p>
        </w:tc>
      </w:tr>
      <w:tr w14:paraId="57BEF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vMerge w:val="continue"/>
            <w:vAlign w:val="center"/>
          </w:tcPr>
          <w:p w14:paraId="351522E8">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5"/>
              </w:rPr>
            </w:pPr>
          </w:p>
        </w:tc>
        <w:tc>
          <w:tcPr>
            <w:tcW w:w="5661" w:type="dxa"/>
            <w:shd w:val="clear" w:color="auto" w:fill="auto"/>
            <w:vAlign w:val="center"/>
          </w:tcPr>
          <w:p w14:paraId="1272AF0A">
            <w:pPr>
              <w:pStyle w:val="22"/>
              <w:keepNext w:val="0"/>
              <w:keepLines w:val="0"/>
              <w:pageBreakBefore w:val="0"/>
              <w:widowControl/>
              <w:kinsoku w:val="0"/>
              <w:wordWrap/>
              <w:overflowPunct/>
              <w:topLinePunct w:val="0"/>
              <w:autoSpaceDE w:val="0"/>
              <w:autoSpaceDN w:val="0"/>
              <w:bidi w:val="0"/>
              <w:adjustRightInd w:val="0"/>
              <w:snapToGrid w:val="0"/>
              <w:spacing w:line="228"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5"/>
              </w:rPr>
              <w:t>动三轴样品测试（</w:t>
            </w:r>
            <w:r>
              <w:rPr>
                <w:rFonts w:ascii="Times New Roman" w:hAnsi="Times New Roman" w:eastAsia="Times New Roman" w:cs="Times New Roman"/>
                <w:spacing w:val="5"/>
              </w:rPr>
              <w:t>8</w:t>
            </w:r>
            <w:r>
              <w:rPr>
                <w:spacing w:val="5"/>
              </w:rPr>
              <w:t>组）</w:t>
            </w:r>
          </w:p>
        </w:tc>
      </w:tr>
      <w:tr w14:paraId="2F4D0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shd w:val="clear" w:color="auto" w:fill="auto"/>
            <w:vAlign w:val="center"/>
          </w:tcPr>
          <w:p w14:paraId="5911FEB5">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4"/>
              </w:rPr>
              <w:t>断层探测</w:t>
            </w:r>
          </w:p>
        </w:tc>
        <w:tc>
          <w:tcPr>
            <w:tcW w:w="5661" w:type="dxa"/>
            <w:shd w:val="clear" w:color="auto" w:fill="auto"/>
            <w:vAlign w:val="center"/>
          </w:tcPr>
          <w:p w14:paraId="4728F42D">
            <w:pPr>
              <w:pStyle w:val="22"/>
              <w:keepNext w:val="0"/>
              <w:keepLines w:val="0"/>
              <w:pageBreakBefore w:val="0"/>
              <w:widowControl/>
              <w:kinsoku w:val="0"/>
              <w:wordWrap/>
              <w:overflowPunct/>
              <w:topLinePunct w:val="0"/>
              <w:autoSpaceDE w:val="0"/>
              <w:autoSpaceDN w:val="0"/>
              <w:bidi w:val="0"/>
              <w:adjustRightInd w:val="0"/>
              <w:snapToGrid w:val="0"/>
              <w:spacing w:line="232"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7"/>
              </w:rPr>
              <w:t>水域地震勘探</w:t>
            </w:r>
            <w:r>
              <w:rPr>
                <w:rFonts w:hint="eastAsia"/>
                <w:spacing w:val="7"/>
                <w:lang w:eastAsia="zh-CN"/>
              </w:rPr>
              <w:t>（</w:t>
            </w:r>
            <w:r>
              <w:rPr>
                <w:spacing w:val="1"/>
              </w:rPr>
              <w:t>由业主提供</w:t>
            </w:r>
            <w:r>
              <w:rPr>
                <w:rFonts w:hint="eastAsia"/>
                <w:spacing w:val="7"/>
                <w:lang w:eastAsia="zh-CN"/>
              </w:rPr>
              <w:t>）</w:t>
            </w:r>
          </w:p>
        </w:tc>
      </w:tr>
      <w:tr w14:paraId="01393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shd w:val="clear" w:color="auto" w:fill="auto"/>
            <w:vAlign w:val="center"/>
          </w:tcPr>
          <w:p w14:paraId="0B5989BE">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1"/>
              </w:rPr>
              <w:t>评审</w:t>
            </w:r>
          </w:p>
        </w:tc>
        <w:tc>
          <w:tcPr>
            <w:tcW w:w="5661" w:type="dxa"/>
            <w:shd w:val="clear" w:color="auto" w:fill="auto"/>
            <w:vAlign w:val="center"/>
          </w:tcPr>
          <w:p w14:paraId="42A2E484">
            <w:pPr>
              <w:pStyle w:val="22"/>
              <w:keepNext w:val="0"/>
              <w:keepLines w:val="0"/>
              <w:pageBreakBefore w:val="0"/>
              <w:widowControl/>
              <w:kinsoku w:val="0"/>
              <w:wordWrap/>
              <w:overflowPunct/>
              <w:topLinePunct w:val="0"/>
              <w:autoSpaceDE w:val="0"/>
              <w:autoSpaceDN w:val="0"/>
              <w:bidi w:val="0"/>
              <w:adjustRightInd w:val="0"/>
              <w:snapToGrid w:val="0"/>
              <w:spacing w:line="232" w:lineRule="auto"/>
              <w:ind w:left="0" w:leftChars="0" w:right="0" w:firstLine="0"/>
              <w:jc w:val="center"/>
              <w:textAlignment w:val="baseline"/>
              <w:rPr>
                <w:rFonts w:hint="eastAsia" w:ascii="仿宋" w:hAnsi="仿宋" w:eastAsia="仿宋" w:cs="仿宋"/>
                <w:snapToGrid w:val="0"/>
                <w:color w:val="000000"/>
                <w:kern w:val="0"/>
                <w:sz w:val="19"/>
                <w:szCs w:val="19"/>
                <w:lang w:val="en-US" w:eastAsia="zh-CN" w:bidi="ar-SA"/>
              </w:rPr>
            </w:pPr>
            <w:r>
              <w:rPr>
                <w:spacing w:val="7"/>
              </w:rPr>
              <w:t>专家咨询及会务</w:t>
            </w:r>
          </w:p>
        </w:tc>
      </w:tr>
      <w:tr w14:paraId="3431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301" w:type="dxa"/>
            <w:shd w:val="clear" w:color="auto" w:fill="auto"/>
            <w:vAlign w:val="center"/>
          </w:tcPr>
          <w:p w14:paraId="5A553D44">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6"/>
              </w:rPr>
              <w:t>辅助工作</w:t>
            </w:r>
          </w:p>
        </w:tc>
        <w:tc>
          <w:tcPr>
            <w:tcW w:w="5661" w:type="dxa"/>
            <w:shd w:val="clear" w:color="auto" w:fill="auto"/>
            <w:vAlign w:val="center"/>
          </w:tcPr>
          <w:p w14:paraId="5B712E09">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leftChars="0" w:right="0" w:firstLine="0"/>
              <w:jc w:val="center"/>
              <w:textAlignment w:val="baseline"/>
              <w:rPr>
                <w:rFonts w:ascii="仿宋" w:hAnsi="仿宋" w:eastAsia="仿宋" w:cs="仿宋"/>
                <w:snapToGrid w:val="0"/>
                <w:color w:val="000000"/>
                <w:kern w:val="0"/>
                <w:sz w:val="19"/>
                <w:szCs w:val="19"/>
                <w:lang w:val="en-US" w:eastAsia="en-US" w:bidi="ar-SA"/>
              </w:rPr>
            </w:pPr>
            <w:r>
              <w:rPr>
                <w:spacing w:val="6"/>
              </w:rPr>
              <w:t>图件打印、报告装订等</w:t>
            </w:r>
          </w:p>
        </w:tc>
      </w:tr>
    </w:tbl>
    <w:p w14:paraId="7959B35F">
      <w:pPr>
        <w:keepNext w:val="0"/>
        <w:keepLines w:val="0"/>
        <w:widowControl w:val="0"/>
        <w:suppressLineNumbers w:val="0"/>
        <w:kinsoku/>
        <w:wordWrap w:val="0"/>
        <w:autoSpaceDE/>
        <w:autoSpaceDN/>
        <w:adjustRightInd/>
        <w:snapToGrid/>
        <w:spacing w:before="0" w:line="360" w:lineRule="auto"/>
        <w:ind w:firstLine="403"/>
        <w:jc w:val="center"/>
        <w:textAlignment w:val="auto"/>
        <w:rPr>
          <w:rFonts w:hint="eastAsia" w:ascii="仿宋" w:hAnsi="仿宋" w:eastAsia="仿宋" w:cs="仿宋"/>
          <w:color w:val="auto"/>
          <w:sz w:val="28"/>
          <w:szCs w:val="28"/>
          <w:highlight w:val="none"/>
          <w:shd w:val="clear" w:color="auto" w:fill="FFFFFF"/>
          <w:lang w:val="en-US" w:eastAsia="zh-CN"/>
        </w:rPr>
      </w:pPr>
    </w:p>
    <w:p w14:paraId="563CEB9F">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eastAsia="zh-CN"/>
        </w:rPr>
        <w:t>3）工作依据：</w:t>
      </w:r>
    </w:p>
    <w:p w14:paraId="3D47F944">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本项目地震安全性评价技术咨询工作遵循的法律法规及标准如下： </w:t>
      </w:r>
    </w:p>
    <w:p w14:paraId="28AD798E">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（1）《中华人民共和国防震减灾法》（中华人民共和国主席令第七号）； </w:t>
      </w:r>
    </w:p>
    <w:p w14:paraId="27F35201">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（2）《地震安全性评价管理条例》（中华人民共和国国务院令第 323 号）； </w:t>
      </w:r>
    </w:p>
    <w:p w14:paraId="27284959">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（3）《建设工程抗震设防要求管理规定》（中国地震局令第 7 号）； </w:t>
      </w:r>
      <w:r>
        <w:rPr>
          <w:rFonts w:hint="eastAsia" w:ascii="仿宋" w:hAnsi="仿宋" w:eastAsia="仿宋" w:cs="仿宋"/>
          <w:color w:val="auto"/>
          <w:sz w:val="28"/>
          <w:szCs w:val="28"/>
          <w:highlight w:val="none"/>
          <w:shd w:val="clear" w:color="auto" w:fill="FFFFFF"/>
          <w:lang w:val="en-US" w:eastAsia="zh-CN"/>
        </w:rPr>
        <w:t xml:space="preserve">  </w:t>
      </w:r>
      <w:r>
        <w:rPr>
          <w:rFonts w:hint="eastAsia" w:ascii="仿宋" w:hAnsi="仿宋" w:eastAsia="仿宋" w:cs="仿宋"/>
          <w:color w:val="auto"/>
          <w:sz w:val="28"/>
          <w:szCs w:val="28"/>
          <w:highlight w:val="none"/>
          <w:shd w:val="clear" w:color="auto" w:fill="FFFFFF"/>
          <w:lang w:eastAsia="zh-CN"/>
        </w:rPr>
        <w:t xml:space="preserve">（4）《地震安全性评价管理办法（暂行）》（中震防发〔2017〕10 号）； </w:t>
      </w:r>
    </w:p>
    <w:p w14:paraId="32400135">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（5）《关于印发〈全面推行区域评估的实施意见〉的通知》（浙发改投资 2019） </w:t>
      </w:r>
    </w:p>
    <w:p w14:paraId="4F934B5A">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（6）《浙江省区域地震安全性评价工作管理办法》（浙江省地震局 2019）</w:t>
      </w:r>
    </w:p>
    <w:p w14:paraId="10E42747">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（7）《工程场地地震安全性评价》（GB17741—2005）； </w:t>
      </w:r>
    </w:p>
    <w:p w14:paraId="7082E24B">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（8）《浙江省区域地震安全性评价工作技术大纲》（浙江省地震局 2019） </w:t>
      </w:r>
    </w:p>
    <w:p w14:paraId="0A387659">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（9）《中国地震动参数区划图》（GB18306—2015）； </w:t>
      </w:r>
    </w:p>
    <w:p w14:paraId="0B48D6F6">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（10）《中国地震烈度表》（GB/T17742—2008）； </w:t>
      </w:r>
    </w:p>
    <w:p w14:paraId="76CAF269">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 xml:space="preserve">（11）《建筑抗震设计规范》（GB50011—2010）（2016 年版）； </w:t>
      </w:r>
    </w:p>
    <w:p w14:paraId="2FDA6370">
      <w:pPr>
        <w:widowControl w:val="0"/>
        <w:kinsoku/>
        <w:wordWrap w:val="0"/>
        <w:autoSpaceDE/>
        <w:autoSpaceDN/>
        <w:adjustRightInd/>
        <w:snapToGrid/>
        <w:spacing w:before="0" w:line="360" w:lineRule="auto"/>
        <w:ind w:firstLine="403" w:firstLineChars="0"/>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eastAsia="zh-CN"/>
        </w:rPr>
        <w:t>（12）《构筑物抗震设计规范》（GB50191-2012）；</w:t>
      </w:r>
    </w:p>
    <w:p w14:paraId="0E6DF1C5">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4）工作时间 :</w:t>
      </w:r>
    </w:p>
    <w:p w14:paraId="23B76807">
      <w:pPr>
        <w:widowControl w:val="0"/>
        <w:kinsoku/>
        <w:wordWrap w:val="0"/>
        <w:autoSpaceDE/>
        <w:autoSpaceDN/>
        <w:adjustRightInd/>
        <w:snapToGrid/>
        <w:spacing w:before="0" w:line="360" w:lineRule="auto"/>
        <w:ind w:left="0" w:leftChars="0" w:firstLine="403" w:firstLineChars="0"/>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1）合同签订后</w:t>
      </w:r>
      <w:r>
        <w:rPr>
          <w:rFonts w:hint="eastAsia" w:ascii="仿宋" w:hAnsi="仿宋" w:eastAsia="仿宋" w:cs="仿宋"/>
          <w:color w:val="auto"/>
          <w:sz w:val="28"/>
          <w:szCs w:val="28"/>
          <w:highlight w:val="none"/>
          <w:shd w:val="clear" w:color="auto" w:fill="FFFFFF"/>
          <w:lang w:val="en-US" w:eastAsia="zh-CN"/>
        </w:rPr>
        <w:t>30日历天内</w:t>
      </w:r>
      <w:r>
        <w:rPr>
          <w:rFonts w:hint="eastAsia" w:ascii="仿宋" w:hAnsi="仿宋" w:eastAsia="仿宋" w:cs="仿宋"/>
          <w:b w:val="0"/>
          <w:bCs w:val="0"/>
          <w:color w:val="auto"/>
          <w:sz w:val="28"/>
          <w:szCs w:val="28"/>
          <w:highlight w:val="none"/>
          <w:shd w:val="clear" w:color="auto" w:fill="FFFFFF"/>
          <w:lang w:val="en-US" w:eastAsia="zh-CN"/>
        </w:rPr>
        <w:t>完成本项目地震安全性评价报告报审稿；</w:t>
      </w:r>
    </w:p>
    <w:p w14:paraId="3C7CE801">
      <w:pPr>
        <w:widowControl w:val="0"/>
        <w:kinsoku/>
        <w:wordWrap w:val="0"/>
        <w:autoSpaceDE/>
        <w:autoSpaceDN/>
        <w:adjustRightInd/>
        <w:snapToGrid/>
        <w:spacing w:before="0" w:line="360" w:lineRule="auto"/>
        <w:ind w:left="0" w:leftChars="0" w:firstLine="403" w:firstLineChars="0"/>
        <w:jc w:val="both"/>
        <w:textAlignment w:val="auto"/>
        <w:rPr>
          <w:rFonts w:hint="default" w:ascii="仿宋" w:hAnsi="仿宋" w:eastAsia="仿宋" w:cs="仿宋"/>
          <w:b w:val="0"/>
          <w:bCs w:val="0"/>
          <w:color w:val="auto"/>
          <w:sz w:val="28"/>
          <w:szCs w:val="28"/>
          <w:highlight w:val="none"/>
          <w:shd w:val="clear" w:color="auto" w:fill="FFFFFF"/>
          <w:lang w:eastAsia="zh-CN"/>
          <w:woUserID w:val="1"/>
        </w:rPr>
      </w:pPr>
      <w:r>
        <w:rPr>
          <w:rFonts w:hint="eastAsia" w:ascii="仿宋" w:hAnsi="仿宋" w:eastAsia="仿宋" w:cs="仿宋"/>
          <w:b w:val="0"/>
          <w:bCs w:val="0"/>
          <w:color w:val="auto"/>
          <w:sz w:val="28"/>
          <w:szCs w:val="28"/>
          <w:highlight w:val="none"/>
          <w:shd w:val="clear" w:color="auto" w:fill="FFFFFF"/>
          <w:lang w:val="en-US" w:eastAsia="zh-CN"/>
        </w:rPr>
        <w:t>2）将报审稿递交政府地震安全性评定委员会评审</w:t>
      </w:r>
      <w:r>
        <w:rPr>
          <w:rFonts w:hint="default" w:ascii="仿宋" w:hAnsi="仿宋" w:eastAsia="仿宋" w:cs="仿宋"/>
          <w:b w:val="0"/>
          <w:bCs w:val="0"/>
          <w:color w:val="auto"/>
          <w:sz w:val="28"/>
          <w:szCs w:val="28"/>
          <w:highlight w:val="none"/>
          <w:shd w:val="clear" w:color="auto" w:fill="FFFFFF"/>
          <w:lang w:eastAsia="zh-CN"/>
          <w:woUserID w:val="1"/>
        </w:rPr>
        <w:t>；</w:t>
      </w:r>
    </w:p>
    <w:p w14:paraId="133BC235">
      <w:pPr>
        <w:widowControl w:val="0"/>
        <w:kinsoku/>
        <w:wordWrap w:val="0"/>
        <w:autoSpaceDE/>
        <w:autoSpaceDN/>
        <w:adjustRightInd/>
        <w:snapToGrid/>
        <w:spacing w:before="0" w:line="360" w:lineRule="auto"/>
        <w:ind w:left="0" w:leftChars="0" w:firstLine="403" w:firstLineChars="0"/>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3）在收到政府地震安全性评定委员会评审意见3个日历天内中标供应商必须完成报告修改工作；</w:t>
      </w:r>
    </w:p>
    <w:p w14:paraId="7221436D">
      <w:pPr>
        <w:widowControl w:val="0"/>
        <w:kinsoku/>
        <w:wordWrap w:val="0"/>
        <w:autoSpaceDE/>
        <w:autoSpaceDN/>
        <w:adjustRightInd/>
        <w:snapToGrid/>
        <w:spacing w:before="0" w:line="360" w:lineRule="auto"/>
        <w:ind w:left="0" w:leftChars="0" w:firstLine="403" w:firstLineChars="0"/>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4）中标供应商应协助采购方处理与评审相关事宜，</w:t>
      </w:r>
      <w:r>
        <w:rPr>
          <w:rFonts w:hint="eastAsia"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val="en-US" w:eastAsia="zh-CN"/>
        </w:rPr>
        <w:t>个日历天内</w:t>
      </w:r>
      <w:r>
        <w:rPr>
          <w:rFonts w:hint="eastAsia" w:ascii="仿宋" w:hAnsi="仿宋" w:eastAsia="仿宋"/>
          <w:sz w:val="28"/>
          <w:u w:val="single"/>
        </w:rPr>
        <w:t>提交正式报告</w:t>
      </w:r>
      <w:r>
        <w:rPr>
          <w:rFonts w:hint="eastAsia" w:cs="仿宋"/>
          <w:color w:val="auto"/>
          <w:sz w:val="28"/>
          <w:szCs w:val="28"/>
          <w:highlight w:val="none"/>
          <w:u w:val="single"/>
          <w:lang w:val="en-US" w:eastAsia="zh-CN"/>
        </w:rPr>
        <w:t>上报</w:t>
      </w:r>
      <w:r>
        <w:rPr>
          <w:rFonts w:hint="eastAsia" w:ascii="仿宋" w:hAnsi="仿宋" w:eastAsia="仿宋" w:cs="仿宋"/>
          <w:color w:val="auto"/>
          <w:sz w:val="28"/>
          <w:szCs w:val="28"/>
          <w:highlight w:val="none"/>
          <w:u w:val="single"/>
          <w:lang w:val="en-US" w:eastAsia="zh-CN"/>
        </w:rPr>
        <w:t>审批</w:t>
      </w:r>
      <w:r>
        <w:rPr>
          <w:rFonts w:hint="eastAsia" w:cs="仿宋"/>
          <w:color w:val="auto"/>
          <w:sz w:val="28"/>
          <w:szCs w:val="28"/>
          <w:highlight w:val="none"/>
          <w:u w:val="single"/>
          <w:lang w:val="en-US" w:eastAsia="zh-CN"/>
        </w:rPr>
        <w:t>且</w:t>
      </w:r>
      <w:r>
        <w:rPr>
          <w:rFonts w:hint="eastAsia" w:ascii="仿宋" w:hAnsi="仿宋" w:eastAsia="仿宋"/>
          <w:sz w:val="28"/>
          <w:u w:val="single"/>
        </w:rPr>
        <w:t>获取</w:t>
      </w:r>
      <w:r>
        <w:rPr>
          <w:rFonts w:hint="eastAsia"/>
          <w:sz w:val="28"/>
          <w:u w:val="single"/>
          <w:lang w:val="en-US" w:eastAsia="zh-CN"/>
        </w:rPr>
        <w:t>省级</w:t>
      </w:r>
      <w:r>
        <w:rPr>
          <w:rFonts w:hint="eastAsia" w:cs="仿宋"/>
          <w:color w:val="auto"/>
          <w:sz w:val="28"/>
          <w:szCs w:val="28"/>
          <w:highlight w:val="none"/>
          <w:u w:val="single"/>
          <w:lang w:val="en-US" w:eastAsia="zh-CN"/>
        </w:rPr>
        <w:t>地震</w:t>
      </w:r>
      <w:r>
        <w:rPr>
          <w:rFonts w:hint="eastAsia" w:ascii="仿宋" w:hAnsi="仿宋" w:eastAsia="仿宋" w:cs="仿宋"/>
          <w:color w:val="auto"/>
          <w:sz w:val="28"/>
          <w:szCs w:val="28"/>
          <w:highlight w:val="none"/>
          <w:u w:val="single"/>
          <w:lang w:val="en-US" w:eastAsia="zh-CN"/>
        </w:rPr>
        <w:t>主管部门</w:t>
      </w:r>
      <w:r>
        <w:rPr>
          <w:rFonts w:hint="eastAsia" w:ascii="仿宋" w:hAnsi="仿宋" w:eastAsia="仿宋"/>
          <w:sz w:val="28"/>
          <w:u w:val="single"/>
        </w:rPr>
        <w:t>批复文件</w:t>
      </w:r>
      <w:r>
        <w:rPr>
          <w:rFonts w:hint="eastAsia" w:ascii="仿宋" w:hAnsi="仿宋" w:eastAsia="仿宋" w:cs="仿宋"/>
          <w:b w:val="0"/>
          <w:bCs w:val="0"/>
          <w:color w:val="auto"/>
          <w:sz w:val="28"/>
          <w:szCs w:val="28"/>
          <w:highlight w:val="none"/>
          <w:shd w:val="clear" w:color="auto" w:fill="FFFFFF"/>
          <w:lang w:val="en-US" w:eastAsia="zh-CN"/>
        </w:rPr>
        <w:t>。</w:t>
      </w:r>
    </w:p>
    <w:p w14:paraId="70D4DB80">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5）付款方式及要求：</w:t>
      </w:r>
    </w:p>
    <w:p w14:paraId="35CAEA36">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b w:val="0"/>
          <w:bCs w:val="0"/>
          <w:color w:val="auto"/>
          <w:sz w:val="28"/>
          <w:szCs w:val="28"/>
          <w:highlight w:val="none"/>
          <w:shd w:val="clear" w:color="auto" w:fill="FFFFFF"/>
          <w:lang w:val="en-US" w:eastAsia="zh-CN"/>
        </w:rPr>
      </w:pPr>
      <w:r>
        <w:rPr>
          <w:rFonts w:hint="eastAsia" w:ascii="仿宋" w:hAnsi="仿宋" w:eastAsia="仿宋" w:cs="仿宋"/>
          <w:b w:val="0"/>
          <w:bCs w:val="0"/>
          <w:color w:val="auto"/>
          <w:sz w:val="28"/>
          <w:szCs w:val="28"/>
          <w:highlight w:val="none"/>
          <w:shd w:val="clear" w:color="auto" w:fill="FFFFFF"/>
          <w:lang w:val="en-US" w:eastAsia="zh-CN"/>
        </w:rPr>
        <w:t>中标供应商编制地震安全性评价正式报告报审、评审通过并完成省级地震主管部门批复后30个工作日内一次性付清。</w:t>
      </w:r>
    </w:p>
    <w:p w14:paraId="7DB5658A">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6）</w:t>
      </w:r>
      <w:r>
        <w:rPr>
          <w:rFonts w:hint="eastAsia" w:ascii="仿宋" w:hAnsi="仿宋" w:eastAsia="仿宋" w:cs="仿宋"/>
          <w:b w:val="0"/>
          <w:bCs w:val="0"/>
          <w:color w:val="auto"/>
          <w:sz w:val="28"/>
          <w:szCs w:val="28"/>
          <w:highlight w:val="none"/>
          <w:shd w:val="clear" w:color="auto" w:fill="FFFFFF"/>
          <w:lang w:eastAsia="zh-CN"/>
        </w:rPr>
        <w:t>服务质量</w:t>
      </w:r>
      <w:r>
        <w:rPr>
          <w:rFonts w:hint="eastAsia" w:ascii="仿宋" w:hAnsi="仿宋" w:eastAsia="仿宋" w:cs="仿宋"/>
          <w:b w:val="0"/>
          <w:bCs w:val="0"/>
          <w:color w:val="auto"/>
          <w:sz w:val="28"/>
          <w:szCs w:val="28"/>
          <w:highlight w:val="none"/>
          <w:shd w:val="clear" w:color="auto" w:fill="FFFFFF"/>
          <w:lang w:val="en-US" w:eastAsia="zh-CN"/>
        </w:rPr>
        <w:t>及其他服务</w:t>
      </w:r>
      <w:r>
        <w:rPr>
          <w:rFonts w:hint="eastAsia" w:ascii="仿宋" w:hAnsi="仿宋" w:eastAsia="仿宋" w:cs="仿宋"/>
          <w:b w:val="0"/>
          <w:bCs w:val="0"/>
          <w:color w:val="auto"/>
          <w:sz w:val="28"/>
          <w:szCs w:val="28"/>
          <w:highlight w:val="none"/>
          <w:shd w:val="clear" w:color="auto" w:fill="FFFFFF"/>
          <w:lang w:eastAsia="zh-CN"/>
        </w:rPr>
        <w:t>要求：</w:t>
      </w:r>
    </w:p>
    <w:p w14:paraId="304F7508">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服务质量</w:t>
      </w:r>
      <w:r>
        <w:rPr>
          <w:rFonts w:hint="eastAsia" w:ascii="仿宋" w:hAnsi="仿宋" w:eastAsia="仿宋" w:cs="仿宋"/>
          <w:color w:val="auto"/>
          <w:sz w:val="28"/>
          <w:szCs w:val="28"/>
          <w:highlight w:val="none"/>
          <w:shd w:val="clear" w:color="auto" w:fill="FFFFFF"/>
          <w:lang w:val="en-US" w:eastAsia="zh-CN"/>
        </w:rPr>
        <w:t>:</w:t>
      </w:r>
      <w:r>
        <w:rPr>
          <w:rFonts w:hint="eastAsia" w:ascii="仿宋" w:hAnsi="仿宋" w:eastAsia="仿宋" w:cs="仿宋"/>
          <w:color w:val="auto"/>
          <w:sz w:val="28"/>
          <w:szCs w:val="28"/>
          <w:highlight w:val="none"/>
          <w:u w:val="single"/>
          <w:lang w:val="en-US" w:eastAsia="zh-CN"/>
        </w:rPr>
        <w:t xml:space="preserve">完成地震安全性评价成果报告,地震主管部门审批通过即为合格 </w:t>
      </w:r>
      <w:r>
        <w:rPr>
          <w:rFonts w:hint="eastAsia" w:ascii="仿宋" w:hAnsi="仿宋" w:eastAsia="仿宋" w:cs="仿宋"/>
          <w:color w:val="auto"/>
          <w:sz w:val="28"/>
          <w:szCs w:val="28"/>
          <w:highlight w:val="none"/>
          <w:u w:val="single"/>
          <w:lang w:eastAsia="zh-CN"/>
        </w:rPr>
        <w:t>。</w:t>
      </w:r>
    </w:p>
    <w:p w14:paraId="5E5CC88A">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其他服务要求：</w:t>
      </w:r>
    </w:p>
    <w:p w14:paraId="11E1545D">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1、成交供应商在履行合同义务期间，应遵守国家有关法律法规、维护采购人的合法权益。</w:t>
      </w:r>
    </w:p>
    <w:p w14:paraId="10301855">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2、成交供应商应自行承担项目实施过程中安全生产责任，采购人及使用单位在任何情况下均不承担因此产生的任何法律责任和经济责任。</w:t>
      </w:r>
    </w:p>
    <w:p w14:paraId="6A02D66B">
      <w:pPr>
        <w:widowControl w:val="0"/>
        <w:kinsoku/>
        <w:wordWrap w:val="0"/>
        <w:autoSpaceDE/>
        <w:autoSpaceDN/>
        <w:adjustRightInd/>
        <w:spacing w:line="360" w:lineRule="auto"/>
        <w:ind w:firstLine="403"/>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3、供应商应在项目实施前将工作计划报采购人审核，并接受采购人监督。</w:t>
      </w:r>
    </w:p>
    <w:p w14:paraId="2BC4B78F">
      <w:pPr>
        <w:pStyle w:val="5"/>
        <w:snapToGrid/>
        <w:spacing w:before="0" w:line="500" w:lineRule="auto"/>
        <w:jc w:val="both"/>
        <w:rPr>
          <w:rFonts w:hint="eastAsia"/>
          <w:color w:val="auto"/>
          <w:highlight w:val="none"/>
          <w:shd w:val="clear" w:color="auto" w:fill="FFFFFF"/>
          <w:lang w:eastAsia="zh-CN" w:bidi="ar"/>
        </w:rPr>
      </w:pPr>
      <w:r>
        <w:rPr>
          <w:rFonts w:hint="eastAsia"/>
          <w:color w:val="auto"/>
          <w:spacing w:val="0"/>
          <w:highlight w:val="none"/>
          <w:shd w:val="clear" w:color="auto" w:fill="FFFFFF"/>
          <w:lang w:eastAsia="zh-CN" w:bidi="ar"/>
        </w:rPr>
        <w:t>三、响应人的资格要求</w:t>
      </w:r>
    </w:p>
    <w:p w14:paraId="32F16879">
      <w:pPr>
        <w:widowControl w:val="0"/>
        <w:kinsoku/>
        <w:wordWrap w:val="0"/>
        <w:autoSpaceDE/>
        <w:autoSpaceDN/>
        <w:adjustRightInd/>
        <w:snapToGrid/>
        <w:spacing w:before="0" w:line="360" w:lineRule="auto"/>
        <w:ind w:left="0" w:leftChars="0" w:firstLine="403"/>
        <w:jc w:val="both"/>
        <w:textAlignment w:val="auto"/>
        <w:rPr>
          <w:rFonts w:hint="default" w:ascii="仿宋" w:hAnsi="仿宋" w:eastAsia="仿宋" w:cs="仿宋"/>
          <w:color w:val="auto"/>
          <w:sz w:val="28"/>
          <w:szCs w:val="28"/>
          <w:highlight w:val="none"/>
          <w:shd w:val="clear" w:color="auto" w:fill="FFFFFF"/>
          <w:lang w:eastAsia="zh-CN"/>
        </w:rPr>
      </w:pPr>
      <w:r>
        <w:rPr>
          <w:rFonts w:hint="default" w:ascii="仿宋" w:hAnsi="仿宋" w:eastAsia="仿宋" w:cs="仿宋"/>
          <w:color w:val="auto"/>
          <w:sz w:val="28"/>
          <w:szCs w:val="28"/>
          <w:highlight w:val="none"/>
          <w:shd w:val="clear" w:color="auto" w:fill="FFFFFF"/>
          <w:lang w:eastAsia="zh-CN"/>
        </w:rPr>
        <w:t>1、</w:t>
      </w:r>
      <w:r>
        <w:rPr>
          <w:rFonts w:hint="default" w:ascii="仿宋" w:hAnsi="仿宋" w:eastAsia="仿宋" w:cs="仿宋"/>
          <w:color w:val="auto"/>
          <w:sz w:val="28"/>
          <w:szCs w:val="28"/>
          <w:highlight w:val="none"/>
          <w:shd w:val="clear" w:color="auto" w:fill="FFFFFF"/>
          <w:lang w:val="en-US" w:eastAsia="zh-CN"/>
        </w:rPr>
        <w:t>投标人必须是在中华人民共和国境内注册的企业独立法人；</w:t>
      </w:r>
    </w:p>
    <w:p w14:paraId="025E98FB">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default" w:ascii="仿宋" w:hAnsi="仿宋" w:eastAsia="仿宋" w:cs="仿宋"/>
          <w:color w:val="auto"/>
          <w:sz w:val="28"/>
          <w:szCs w:val="28"/>
          <w:highlight w:val="none"/>
          <w:shd w:val="clear" w:color="auto" w:fill="FFFFFF"/>
          <w:lang w:eastAsia="zh-CN"/>
        </w:rPr>
        <w:t>2</w:t>
      </w:r>
      <w:r>
        <w:rPr>
          <w:rFonts w:hint="eastAsia" w:ascii="仿宋" w:hAnsi="仿宋" w:eastAsia="仿宋" w:cs="仿宋"/>
          <w:color w:val="auto"/>
          <w:sz w:val="28"/>
          <w:szCs w:val="28"/>
          <w:highlight w:val="none"/>
          <w:shd w:val="clear" w:color="auto" w:fill="FFFFFF"/>
          <w:lang w:eastAsia="zh-CN"/>
        </w:rPr>
        <w:t>、</w:t>
      </w:r>
      <w:r>
        <w:rPr>
          <w:rFonts w:hint="default" w:ascii="仿宋" w:hAnsi="仿宋" w:eastAsia="仿宋" w:cs="仿宋"/>
          <w:color w:val="auto"/>
          <w:sz w:val="28"/>
          <w:szCs w:val="28"/>
          <w:highlight w:val="none"/>
          <w:shd w:val="clear" w:color="auto" w:fill="FFFFFF"/>
          <w:lang w:val="en-US" w:eastAsia="zh-CN"/>
        </w:rPr>
        <w:t>投标人未被列入失信被执行人名单、重大税收违法案件当事人名单、政府采购严重违法失信行为记录名单，信用信息以投标截止日信用中国网站（www.creditchina.gov.cn）、中国政府采购网（www.ccgp.gov.cn）公布为准；</w:t>
      </w:r>
    </w:p>
    <w:p w14:paraId="66F9C4AE">
      <w:pPr>
        <w:widowControl w:val="0"/>
        <w:kinsoku/>
        <w:wordWrap w:val="0"/>
        <w:autoSpaceDE/>
        <w:autoSpaceDN/>
        <w:adjustRightInd/>
        <w:snapToGrid/>
        <w:spacing w:line="360" w:lineRule="auto"/>
        <w:ind w:firstLine="403" w:firstLineChars="0"/>
        <w:jc w:val="both"/>
        <w:textAlignment w:val="auto"/>
        <w:rPr>
          <w:rFonts w:hint="default" w:ascii="仿宋" w:hAnsi="仿宋" w:eastAsia="仿宋" w:cs="仿宋"/>
          <w:b w:val="0"/>
          <w:bCs w:val="0"/>
          <w:snapToGrid w:val="0"/>
          <w:color w:val="auto"/>
          <w:sz w:val="28"/>
          <w:szCs w:val="28"/>
          <w:highlight w:val="none"/>
          <w:shd w:val="clear" w:color="auto" w:fill="FFFFFF"/>
          <w:lang w:eastAsia="zh-CN" w:bidi="ar"/>
        </w:rPr>
      </w:pPr>
      <w:r>
        <w:rPr>
          <w:rFonts w:hint="default" w:ascii="仿宋" w:hAnsi="仿宋" w:eastAsia="仿宋" w:cs="仿宋"/>
          <w:color w:val="auto"/>
          <w:sz w:val="28"/>
          <w:szCs w:val="28"/>
          <w:highlight w:val="none"/>
          <w:shd w:val="clear" w:color="auto" w:fill="FFFFFF"/>
          <w:lang w:val="en-US" w:eastAsia="zh-CN"/>
        </w:rPr>
        <w:t>3、投标人</w:t>
      </w:r>
      <w:r>
        <w:rPr>
          <w:rFonts w:hint="default" w:ascii="仿宋" w:hAnsi="仿宋" w:eastAsia="仿宋" w:cs="仿宋"/>
          <w:color w:val="auto"/>
          <w:spacing w:val="0"/>
          <w:sz w:val="28"/>
          <w:szCs w:val="28"/>
          <w:highlight w:val="none"/>
          <w:shd w:val="clear" w:color="auto" w:fill="FFFFFF"/>
          <w:lang w:val="en-US" w:eastAsia="zh-CN"/>
        </w:rPr>
        <w:t>提供</w:t>
      </w:r>
      <w:r>
        <w:rPr>
          <w:rFonts w:hint="default" w:ascii="仿宋" w:hAnsi="仿宋" w:eastAsia="仿宋" w:cs="仿宋"/>
          <w:color w:val="auto"/>
          <w:spacing w:val="0"/>
          <w:sz w:val="28"/>
          <w:szCs w:val="28"/>
          <w:highlight w:val="none"/>
          <w:shd w:val="clear" w:color="auto" w:fill="FFFFFF"/>
          <w:lang w:eastAsia="zh-CN"/>
        </w:rPr>
        <w:t>202</w:t>
      </w:r>
      <w:r>
        <w:rPr>
          <w:rFonts w:hint="default" w:ascii="仿宋" w:hAnsi="仿宋" w:eastAsia="仿宋" w:cs="仿宋"/>
          <w:color w:val="auto"/>
          <w:spacing w:val="0"/>
          <w:sz w:val="28"/>
          <w:szCs w:val="28"/>
          <w:highlight w:val="none"/>
          <w:shd w:val="clear" w:color="auto" w:fill="FFFFFF"/>
          <w:lang w:val="en-US" w:eastAsia="zh-CN"/>
        </w:rPr>
        <w:t>0</w:t>
      </w:r>
      <w:r>
        <w:rPr>
          <w:rFonts w:hint="default" w:ascii="仿宋" w:hAnsi="仿宋" w:eastAsia="仿宋" w:cs="仿宋"/>
          <w:color w:val="auto"/>
          <w:spacing w:val="0"/>
          <w:sz w:val="28"/>
          <w:szCs w:val="28"/>
          <w:highlight w:val="none"/>
          <w:shd w:val="clear" w:color="auto" w:fill="FFFFFF"/>
          <w:lang w:eastAsia="zh-CN"/>
        </w:rPr>
        <w:t>年</w:t>
      </w:r>
      <w:r>
        <w:rPr>
          <w:rFonts w:hint="default" w:ascii="仿宋" w:hAnsi="仿宋" w:eastAsia="仿宋" w:cs="仿宋"/>
          <w:color w:val="auto"/>
          <w:spacing w:val="0"/>
          <w:sz w:val="28"/>
          <w:szCs w:val="28"/>
          <w:highlight w:val="none"/>
          <w:shd w:val="clear" w:color="auto" w:fill="FFFFFF"/>
          <w:lang w:val="en-US" w:eastAsia="zh-CN"/>
        </w:rPr>
        <w:t>1</w:t>
      </w:r>
      <w:r>
        <w:rPr>
          <w:rFonts w:hint="default" w:ascii="仿宋" w:hAnsi="仿宋" w:eastAsia="仿宋" w:cs="仿宋"/>
          <w:color w:val="auto"/>
          <w:spacing w:val="0"/>
          <w:sz w:val="28"/>
          <w:szCs w:val="28"/>
          <w:highlight w:val="none"/>
          <w:shd w:val="clear" w:color="auto" w:fill="FFFFFF"/>
          <w:lang w:eastAsia="zh-CN"/>
        </w:rPr>
        <w:t>月1日（合同签订时间为准）至今，</w:t>
      </w:r>
      <w:r>
        <w:rPr>
          <w:rFonts w:hint="eastAsia" w:ascii="仿宋" w:hAnsi="仿宋" w:eastAsia="仿宋" w:cs="仿宋"/>
          <w:color w:val="auto"/>
          <w:spacing w:val="0"/>
          <w:sz w:val="28"/>
          <w:szCs w:val="28"/>
          <w:highlight w:val="none"/>
          <w:shd w:val="clear" w:color="auto" w:fill="FFFFFF"/>
          <w:lang w:val="en-US" w:eastAsia="zh-CN"/>
        </w:rPr>
        <w:t>完成过</w:t>
      </w:r>
      <w:r>
        <w:rPr>
          <w:rFonts w:hint="default" w:ascii="仿宋" w:hAnsi="仿宋" w:eastAsia="仿宋" w:cs="仿宋"/>
          <w:color w:val="auto"/>
          <w:spacing w:val="0"/>
          <w:sz w:val="28"/>
          <w:szCs w:val="28"/>
          <w:highlight w:val="none"/>
          <w:shd w:val="clear" w:color="auto" w:fill="FFFFFF"/>
          <w:lang w:eastAsia="zh-CN"/>
        </w:rPr>
        <w:t>类似</w:t>
      </w:r>
      <w:r>
        <w:rPr>
          <w:rFonts w:hint="default" w:ascii="仿宋" w:hAnsi="仿宋" w:eastAsia="仿宋" w:cs="仿宋"/>
          <w:color w:val="auto"/>
          <w:sz w:val="28"/>
          <w:szCs w:val="28"/>
          <w:highlight w:val="none"/>
          <w:shd w:val="clear" w:color="auto" w:fill="FFFFFF"/>
          <w:lang w:eastAsia="zh-CN"/>
        </w:rPr>
        <w:t>工程（</w:t>
      </w:r>
      <w:r>
        <w:rPr>
          <w:rFonts w:hint="default" w:ascii="仿宋" w:hAnsi="仿宋" w:eastAsia="仿宋" w:cs="仿宋"/>
          <w:color w:val="auto"/>
          <w:kern w:val="0"/>
          <w:sz w:val="28"/>
          <w:szCs w:val="28"/>
          <w:highlight w:val="none"/>
          <w:shd w:val="clear" w:color="auto" w:fill="FFFFFF"/>
          <w:lang w:eastAsia="zh-CN"/>
        </w:rPr>
        <w:t>供水管网</w:t>
      </w:r>
      <w:r>
        <w:rPr>
          <w:rFonts w:hint="default" w:ascii="仿宋" w:hAnsi="仿宋" w:eastAsia="仿宋" w:cs="仿宋"/>
          <w:color w:val="auto"/>
          <w:kern w:val="0"/>
          <w:sz w:val="28"/>
          <w:szCs w:val="28"/>
          <w:highlight w:val="none"/>
          <w:shd w:val="clear" w:color="auto" w:fill="FFFFFF"/>
          <w:lang w:val="en-US" w:eastAsia="zh-CN"/>
        </w:rPr>
        <w:t>或</w:t>
      </w:r>
      <w:r>
        <w:rPr>
          <w:rFonts w:hint="default" w:ascii="仿宋" w:hAnsi="仿宋" w:eastAsia="仿宋" w:cs="仿宋"/>
          <w:color w:val="auto"/>
          <w:sz w:val="28"/>
          <w:szCs w:val="28"/>
          <w:highlight w:val="none"/>
          <w:shd w:val="clear" w:color="auto" w:fill="FFFFFF"/>
          <w:lang w:eastAsia="zh-CN"/>
        </w:rPr>
        <w:t>过江通道</w:t>
      </w:r>
      <w:r>
        <w:rPr>
          <w:rFonts w:hint="default" w:ascii="仿宋" w:hAnsi="仿宋" w:eastAsia="仿宋" w:cs="仿宋"/>
          <w:color w:val="auto"/>
          <w:sz w:val="28"/>
          <w:szCs w:val="28"/>
          <w:highlight w:val="none"/>
          <w:shd w:val="clear" w:color="auto" w:fill="FFFFFF"/>
          <w:lang w:val="en-US" w:eastAsia="zh-CN"/>
        </w:rPr>
        <w:t>或</w:t>
      </w:r>
      <w:r>
        <w:rPr>
          <w:rFonts w:hint="default" w:ascii="仿宋" w:hAnsi="仿宋" w:eastAsia="仿宋" w:cs="仿宋"/>
          <w:color w:val="auto"/>
          <w:sz w:val="28"/>
          <w:szCs w:val="28"/>
          <w:highlight w:val="none"/>
          <w:shd w:val="clear" w:color="auto" w:fill="FFFFFF"/>
          <w:lang w:eastAsia="zh-CN"/>
        </w:rPr>
        <w:t>隧道项目）</w:t>
      </w:r>
      <w:r>
        <w:rPr>
          <w:rFonts w:hint="default" w:ascii="仿宋" w:hAnsi="仿宋" w:eastAsia="仿宋" w:cs="仿宋"/>
          <w:color w:val="auto"/>
          <w:sz w:val="28"/>
          <w:szCs w:val="28"/>
          <w:highlight w:val="none"/>
          <w:shd w:val="clear" w:color="auto" w:fill="FFFFFF"/>
          <w:lang w:val="en-US" w:eastAsia="zh-CN"/>
        </w:rPr>
        <w:t>地震安全性评价</w:t>
      </w:r>
      <w:r>
        <w:rPr>
          <w:rFonts w:hint="default" w:ascii="仿宋" w:hAnsi="仿宋" w:eastAsia="仿宋" w:cs="仿宋"/>
          <w:color w:val="auto"/>
          <w:sz w:val="28"/>
          <w:szCs w:val="28"/>
          <w:highlight w:val="none"/>
          <w:shd w:val="clear" w:color="auto" w:fill="FFFFFF"/>
          <w:lang w:eastAsia="zh-CN"/>
        </w:rPr>
        <w:t>业绩（未完成或进行中的项目业绩不计入</w:t>
      </w:r>
      <w:r>
        <w:rPr>
          <w:rFonts w:hint="default" w:ascii="仿宋" w:hAnsi="仿宋" w:eastAsia="仿宋" w:cs="仿宋"/>
          <w:color w:val="auto"/>
          <w:sz w:val="28"/>
          <w:szCs w:val="28"/>
          <w:highlight w:val="none"/>
          <w:shd w:val="clear" w:color="auto" w:fill="FFFFFF"/>
          <w:lang w:val="en-US" w:eastAsia="zh-CN"/>
        </w:rPr>
        <w:t>资格业绩</w:t>
      </w:r>
      <w:r>
        <w:rPr>
          <w:rFonts w:hint="default" w:ascii="仿宋" w:hAnsi="仿宋" w:eastAsia="仿宋" w:cs="仿宋"/>
          <w:color w:val="auto"/>
          <w:sz w:val="28"/>
          <w:szCs w:val="28"/>
          <w:highlight w:val="none"/>
          <w:shd w:val="clear" w:color="auto" w:fill="FFFFFF"/>
          <w:lang w:eastAsia="zh-CN"/>
        </w:rPr>
        <w:t>。</w:t>
      </w:r>
      <w:r>
        <w:rPr>
          <w:rFonts w:hint="default" w:ascii="仿宋" w:hAnsi="仿宋" w:eastAsia="仿宋" w:cs="仿宋"/>
          <w:color w:val="auto"/>
          <w:kern w:val="0"/>
          <w:sz w:val="28"/>
          <w:szCs w:val="28"/>
          <w:highlight w:val="none"/>
          <w:u w:val="none"/>
          <w:shd w:val="clear" w:color="auto" w:fill="FFFFFF"/>
          <w:lang w:val="en-US" w:eastAsia="zh-CN"/>
        </w:rPr>
        <w:t>【</w:t>
      </w:r>
      <w:r>
        <w:rPr>
          <w:rFonts w:hint="default" w:ascii="仿宋" w:hAnsi="仿宋" w:eastAsia="仿宋" w:cs="仿宋"/>
          <w:color w:val="auto"/>
          <w:sz w:val="28"/>
          <w:szCs w:val="28"/>
          <w:highlight w:val="none"/>
          <w:shd w:val="clear" w:color="auto" w:fill="FFFFFF"/>
          <w:lang w:eastAsia="zh-CN"/>
        </w:rPr>
        <w:t>投标文件中</w:t>
      </w:r>
      <w:r>
        <w:rPr>
          <w:rFonts w:hint="default" w:ascii="仿宋" w:hAnsi="仿宋" w:eastAsia="仿宋" w:cs="仿宋"/>
          <w:bCs w:val="0"/>
          <w:color w:val="auto"/>
          <w:sz w:val="28"/>
          <w:szCs w:val="28"/>
          <w:highlight w:val="none"/>
          <w:shd w:val="clear" w:color="auto" w:fill="FFFFFF"/>
          <w:lang w:eastAsia="zh-CN"/>
        </w:rPr>
        <w:t>需</w:t>
      </w:r>
      <w:r>
        <w:rPr>
          <w:rFonts w:hint="default" w:ascii="仿宋" w:hAnsi="仿宋" w:eastAsia="仿宋" w:cs="仿宋"/>
          <w:color w:val="auto"/>
          <w:sz w:val="28"/>
          <w:szCs w:val="28"/>
          <w:highlight w:val="none"/>
          <w:shd w:val="clear" w:color="auto" w:fill="FFFFFF"/>
          <w:lang w:eastAsia="zh-CN"/>
        </w:rPr>
        <w:t>同时提供合同及地震主管部门批复函的复印件并加盖供应商单位公章。</w:t>
      </w:r>
      <w:r>
        <w:rPr>
          <w:rFonts w:hint="default" w:ascii="仿宋" w:hAnsi="仿宋" w:eastAsia="仿宋" w:cs="仿宋"/>
          <w:color w:val="auto"/>
          <w:kern w:val="0"/>
          <w:sz w:val="28"/>
          <w:szCs w:val="28"/>
          <w:highlight w:val="none"/>
          <w:u w:val="none"/>
          <w:shd w:val="clear" w:color="auto" w:fill="FFFFFF"/>
          <w:lang w:val="en-US" w:eastAsia="zh-CN"/>
        </w:rPr>
        <w:t>】</w:t>
      </w:r>
    </w:p>
    <w:p w14:paraId="42A89218">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4</w:t>
      </w:r>
      <w:r>
        <w:rPr>
          <w:rFonts w:hint="eastAsia" w:ascii="仿宋" w:hAnsi="仿宋" w:eastAsia="仿宋" w:cs="仿宋"/>
          <w:color w:val="auto"/>
          <w:sz w:val="28"/>
          <w:szCs w:val="28"/>
          <w:highlight w:val="none"/>
          <w:shd w:val="clear" w:color="auto" w:fill="FFFFFF"/>
          <w:lang w:eastAsia="zh-CN"/>
        </w:rPr>
        <w:t>、本项目不接受联合体投标。</w:t>
      </w:r>
    </w:p>
    <w:p w14:paraId="0C5D92CA">
      <w:pPr>
        <w:pStyle w:val="5"/>
        <w:snapToGrid/>
        <w:spacing w:before="0" w:after="0" w:line="500" w:lineRule="auto"/>
        <w:jc w:val="both"/>
        <w:rPr>
          <w:color w:val="auto"/>
          <w:highlight w:val="none"/>
          <w:shd w:val="clear" w:color="auto" w:fill="FFFFFF"/>
        </w:rPr>
      </w:pPr>
      <w:r>
        <w:rPr>
          <w:rFonts w:hint="eastAsia"/>
          <w:color w:val="auto"/>
          <w:highlight w:val="none"/>
          <w:shd w:val="clear" w:color="auto" w:fill="FFFFFF"/>
          <w:lang w:val="en-US" w:eastAsia="zh-CN"/>
        </w:rPr>
        <w:t>四</w:t>
      </w:r>
      <w:r>
        <w:rPr>
          <w:color w:val="auto"/>
          <w:highlight w:val="none"/>
          <w:shd w:val="clear" w:color="auto" w:fill="FFFFFF"/>
        </w:rPr>
        <w:t>、交易方式</w:t>
      </w:r>
    </w:p>
    <w:p w14:paraId="2F3B54F7">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本项目采用</w:t>
      </w:r>
      <w:r>
        <w:rPr>
          <w:rFonts w:hint="eastAsia" w:ascii="仿宋" w:hAnsi="仿宋" w:eastAsia="仿宋" w:cs="仿宋"/>
          <w:color w:val="auto"/>
          <w:sz w:val="28"/>
          <w:szCs w:val="28"/>
          <w:highlight w:val="none"/>
          <w:shd w:val="clear" w:color="auto" w:fill="FFFFFF"/>
          <w:lang w:val="en-US" w:eastAsia="zh-CN"/>
        </w:rPr>
        <w:t>全流程电子化</w:t>
      </w:r>
      <w:r>
        <w:rPr>
          <w:rFonts w:hint="eastAsia" w:ascii="仿宋" w:hAnsi="仿宋" w:eastAsia="仿宋" w:cs="仿宋"/>
          <w:color w:val="auto"/>
          <w:sz w:val="28"/>
          <w:szCs w:val="28"/>
          <w:highlight w:val="none"/>
          <w:shd w:val="clear" w:color="auto" w:fill="FFFFFF"/>
          <w:lang w:eastAsia="zh-CN"/>
        </w:rPr>
        <w:t>交易方式，电子响应文件将采用CA加密和解密，“e见证”</w:t>
      </w:r>
      <w:r>
        <w:rPr>
          <w:rFonts w:hint="eastAsia" w:ascii="仿宋" w:hAnsi="仿宋" w:eastAsia="仿宋" w:cs="仿宋"/>
          <w:color w:val="auto"/>
          <w:sz w:val="28"/>
          <w:szCs w:val="28"/>
          <w:highlight w:val="none"/>
          <w:shd w:val="clear" w:color="auto" w:fill="FFFFFF"/>
          <w:lang w:val="en-US" w:eastAsia="zh-CN"/>
        </w:rPr>
        <w:t>交易大厅</w:t>
      </w:r>
      <w:r>
        <w:rPr>
          <w:rFonts w:hint="eastAsia" w:ascii="仿宋" w:hAnsi="仿宋" w:eastAsia="仿宋" w:cs="仿宋"/>
          <w:color w:val="auto"/>
          <w:sz w:val="28"/>
          <w:szCs w:val="28"/>
          <w:highlight w:val="none"/>
          <w:shd w:val="clear" w:color="auto" w:fill="FFFFFF"/>
          <w:lang w:eastAsia="zh-CN"/>
        </w:rPr>
        <w:t>的网址为https://bhb.hhtz.gov.cn/bj-tradding/bidweb/index.html  ，响应人无需到滨江区公共资源交易中心现场参加交易会议，无需到达现场提交原件资料。发起人或中介机构和所有响应人应当在响应文件提交截止时间前，登录</w:t>
      </w:r>
      <w:r>
        <w:rPr>
          <w:rFonts w:hint="eastAsia" w:ascii="仿宋" w:hAnsi="仿宋" w:eastAsia="仿宋" w:cs="仿宋"/>
          <w:color w:val="auto"/>
          <w:sz w:val="28"/>
          <w:szCs w:val="28"/>
          <w:highlight w:val="none"/>
          <w:shd w:val="clear" w:color="auto" w:fill="FFFFFF"/>
          <w:lang w:val="en-US" w:eastAsia="zh-CN"/>
        </w:rPr>
        <w:t>滨好办－交易服务专区（“易滨通”小额项目综合管理平台－</w:t>
      </w:r>
      <w:r>
        <w:rPr>
          <w:rFonts w:hint="eastAsia" w:ascii="仿宋" w:hAnsi="仿宋" w:eastAsia="仿宋" w:cs="仿宋"/>
          <w:color w:val="auto"/>
          <w:sz w:val="28"/>
          <w:szCs w:val="28"/>
          <w:highlight w:val="none"/>
          <w:shd w:val="clear" w:color="auto" w:fill="FFFFFF"/>
          <w:lang w:eastAsia="zh-CN"/>
        </w:rPr>
        <w:t>“e见证”</w:t>
      </w:r>
      <w:r>
        <w:rPr>
          <w:rFonts w:hint="eastAsia" w:ascii="仿宋" w:hAnsi="仿宋" w:eastAsia="仿宋" w:cs="仿宋"/>
          <w:color w:val="auto"/>
          <w:sz w:val="28"/>
          <w:szCs w:val="28"/>
          <w:highlight w:val="none"/>
          <w:shd w:val="clear" w:color="auto" w:fill="FFFFFF"/>
          <w:lang w:val="en-US" w:eastAsia="zh-CN"/>
        </w:rPr>
        <w:t>交易大厅）由发起人</w:t>
      </w:r>
      <w:r>
        <w:rPr>
          <w:rFonts w:hint="eastAsia" w:ascii="仿宋" w:hAnsi="仿宋" w:eastAsia="仿宋" w:cs="仿宋"/>
          <w:color w:val="auto"/>
          <w:sz w:val="28"/>
          <w:szCs w:val="28"/>
          <w:highlight w:val="none"/>
          <w:shd w:val="clear" w:color="auto" w:fill="FFFFFF"/>
          <w:lang w:eastAsia="zh-CN"/>
        </w:rPr>
        <w:t>进行在线</w:t>
      </w:r>
      <w:r>
        <w:rPr>
          <w:rFonts w:hint="eastAsia" w:ascii="仿宋" w:hAnsi="仿宋" w:eastAsia="仿宋" w:cs="仿宋"/>
          <w:color w:val="auto"/>
          <w:sz w:val="28"/>
          <w:szCs w:val="28"/>
          <w:highlight w:val="none"/>
          <w:shd w:val="clear" w:color="auto" w:fill="FFFFFF"/>
          <w:lang w:val="en-US" w:eastAsia="zh-CN"/>
        </w:rPr>
        <w:t>解密</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响应人在线</w:t>
      </w:r>
      <w:r>
        <w:rPr>
          <w:rFonts w:hint="eastAsia" w:ascii="仿宋" w:hAnsi="仿宋" w:eastAsia="仿宋" w:cs="仿宋"/>
          <w:color w:val="auto"/>
          <w:sz w:val="28"/>
          <w:szCs w:val="28"/>
          <w:highlight w:val="none"/>
          <w:shd w:val="clear" w:color="auto" w:fill="FFFFFF"/>
          <w:lang w:eastAsia="zh-CN"/>
        </w:rPr>
        <w:t>参加交易活动，系统操作请关注第</w:t>
      </w:r>
      <w:r>
        <w:rPr>
          <w:rFonts w:hint="eastAsia" w:ascii="仿宋" w:hAnsi="仿宋" w:eastAsia="仿宋" w:cs="仿宋"/>
          <w:color w:val="auto"/>
          <w:sz w:val="28"/>
          <w:szCs w:val="28"/>
          <w:highlight w:val="none"/>
          <w:shd w:val="clear" w:color="auto" w:fill="FFFFFF"/>
          <w:lang w:val="en-US" w:eastAsia="zh-CN"/>
        </w:rPr>
        <w:t>八</w:t>
      </w:r>
      <w:r>
        <w:rPr>
          <w:rFonts w:hint="eastAsia" w:ascii="仿宋" w:hAnsi="仿宋" w:eastAsia="仿宋" w:cs="仿宋"/>
          <w:color w:val="auto"/>
          <w:sz w:val="28"/>
          <w:szCs w:val="28"/>
          <w:highlight w:val="none"/>
          <w:shd w:val="clear" w:color="auto" w:fill="FFFFFF"/>
          <w:lang w:eastAsia="zh-CN"/>
        </w:rPr>
        <w:t>点。</w:t>
      </w:r>
    </w:p>
    <w:p w14:paraId="469A1684">
      <w:pPr>
        <w:pStyle w:val="5"/>
        <w:snapToGrid/>
        <w:spacing w:before="0" w:after="0" w:line="500" w:lineRule="auto"/>
        <w:jc w:val="both"/>
        <w:rPr>
          <w:color w:val="auto"/>
          <w:highlight w:val="none"/>
          <w:shd w:val="clear" w:color="auto" w:fill="FFFFFF"/>
        </w:rPr>
      </w:pPr>
      <w:r>
        <w:rPr>
          <w:rFonts w:hint="eastAsia"/>
          <w:color w:val="auto"/>
          <w:highlight w:val="none"/>
          <w:shd w:val="clear" w:color="auto" w:fill="FFFFFF"/>
          <w:lang w:val="en-US" w:eastAsia="zh-CN"/>
        </w:rPr>
        <w:t>五</w:t>
      </w:r>
      <w:r>
        <w:rPr>
          <w:color w:val="auto"/>
          <w:highlight w:val="none"/>
          <w:shd w:val="clear" w:color="auto" w:fill="FFFFFF"/>
        </w:rPr>
        <w:t>、响应人须知</w:t>
      </w:r>
    </w:p>
    <w:p w14:paraId="1357006B">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1、以下条款不符合交易公告要求的，作无效处理：</w:t>
      </w:r>
    </w:p>
    <w:p w14:paraId="29ADCAF4">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（1）项目名称、项目编号、采购需求</w:t>
      </w:r>
      <w:r>
        <w:rPr>
          <w:rFonts w:hint="eastAsia" w:ascii="仿宋" w:hAnsi="仿宋" w:eastAsia="仿宋" w:cs="仿宋"/>
          <w:color w:val="auto"/>
          <w:sz w:val="28"/>
          <w:szCs w:val="28"/>
          <w:highlight w:val="none"/>
          <w:shd w:val="clear" w:color="auto" w:fill="FFFFFF"/>
          <w:lang w:val="en-US" w:eastAsia="zh-CN"/>
        </w:rPr>
        <w:t>及其他</w:t>
      </w:r>
      <w:r>
        <w:rPr>
          <w:rFonts w:hint="eastAsia" w:ascii="仿宋" w:hAnsi="仿宋" w:eastAsia="仿宋" w:cs="仿宋"/>
          <w:color w:val="auto"/>
          <w:sz w:val="28"/>
          <w:szCs w:val="28"/>
          <w:highlight w:val="none"/>
          <w:shd w:val="clear" w:color="auto" w:fill="FFFFFF"/>
          <w:lang w:eastAsia="zh-CN"/>
        </w:rPr>
        <w:t>实质性内容未响应的；</w:t>
      </w:r>
    </w:p>
    <w:p w14:paraId="0DEE59C6">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（2）附件资料（扫描件）未按交易公告要求提供的；</w:t>
      </w:r>
    </w:p>
    <w:p w14:paraId="2FE21EEE">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（3）未按交易公告要求签字或盖章的。</w:t>
      </w:r>
    </w:p>
    <w:p w14:paraId="498FF4D4">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2、响应人提交响应文件中的报价、响应需求、成交质保期</w:t>
      </w:r>
      <w:r>
        <w:rPr>
          <w:rFonts w:hint="eastAsia" w:ascii="仿宋" w:hAnsi="仿宋" w:eastAsia="仿宋" w:cs="仿宋"/>
          <w:color w:val="auto"/>
          <w:sz w:val="28"/>
          <w:szCs w:val="28"/>
          <w:highlight w:val="none"/>
          <w:shd w:val="clear" w:color="auto" w:fill="FFFFFF"/>
          <w:lang w:val="en-US" w:eastAsia="zh-CN"/>
        </w:rPr>
        <w:t>/服务期要求</w:t>
      </w:r>
      <w:r>
        <w:rPr>
          <w:rFonts w:hint="eastAsia" w:ascii="仿宋" w:hAnsi="仿宋" w:eastAsia="仿宋" w:cs="仿宋"/>
          <w:color w:val="auto"/>
          <w:sz w:val="28"/>
          <w:szCs w:val="28"/>
          <w:highlight w:val="none"/>
          <w:shd w:val="clear" w:color="auto" w:fill="FFFFFF"/>
          <w:lang w:eastAsia="zh-CN"/>
        </w:rPr>
        <w:t>最终以电子响应文件“</w:t>
      </w:r>
      <w:r>
        <w:rPr>
          <w:rFonts w:hint="eastAsia" w:ascii="仿宋" w:hAnsi="仿宋" w:eastAsia="仿宋" w:cs="仿宋"/>
          <w:color w:val="auto"/>
          <w:sz w:val="28"/>
          <w:szCs w:val="28"/>
          <w:highlight w:val="none"/>
          <w:shd w:val="clear" w:color="auto" w:fill="FFFFFF"/>
          <w:lang w:val="en-US" w:eastAsia="zh-CN"/>
        </w:rPr>
        <w:t>.响应文件</w:t>
      </w:r>
      <w:r>
        <w:rPr>
          <w:rFonts w:hint="eastAsia" w:ascii="仿宋" w:hAnsi="仿宋" w:eastAsia="仿宋" w:cs="仿宋"/>
          <w:color w:val="auto"/>
          <w:sz w:val="28"/>
          <w:szCs w:val="28"/>
          <w:highlight w:val="none"/>
          <w:shd w:val="clear" w:color="auto" w:fill="FFFFFF"/>
          <w:lang w:eastAsia="zh-CN"/>
        </w:rPr>
        <w:t>”版为准。</w:t>
      </w:r>
    </w:p>
    <w:p w14:paraId="2FF52C57">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3、参加响应的单位在交易截止时间前，通过本企业的CA锁登录</w:t>
      </w:r>
      <w:r>
        <w:rPr>
          <w:rFonts w:hint="eastAsia" w:ascii="仿宋" w:hAnsi="仿宋" w:eastAsia="仿宋" w:cs="仿宋"/>
          <w:color w:val="auto"/>
          <w:sz w:val="28"/>
          <w:szCs w:val="28"/>
          <w:highlight w:val="none"/>
          <w:shd w:val="clear" w:color="auto" w:fill="FFFFFF"/>
          <w:lang w:val="en-US" w:eastAsia="zh-CN"/>
        </w:rPr>
        <w:t>“易滨通”小额项目综合管理平台</w:t>
      </w:r>
      <w:r>
        <w:rPr>
          <w:rFonts w:hint="eastAsia" w:ascii="仿宋" w:hAnsi="仿宋" w:eastAsia="仿宋" w:cs="仿宋"/>
          <w:color w:val="auto"/>
          <w:sz w:val="28"/>
          <w:szCs w:val="28"/>
          <w:highlight w:val="none"/>
          <w:shd w:val="clear" w:color="auto" w:fill="FFFFFF"/>
          <w:lang w:eastAsia="zh-CN"/>
        </w:rPr>
        <w:t>，上传电子</w:t>
      </w:r>
      <w:r>
        <w:rPr>
          <w:rFonts w:hint="eastAsia" w:ascii="仿宋" w:hAnsi="仿宋" w:eastAsia="仿宋" w:cs="仿宋"/>
          <w:color w:val="auto"/>
          <w:sz w:val="28"/>
          <w:szCs w:val="28"/>
          <w:highlight w:val="none"/>
          <w:shd w:val="clear" w:color="auto" w:fill="FFFFFF"/>
          <w:lang w:val="en-US" w:eastAsia="zh-CN"/>
        </w:rPr>
        <w:t>响应文件</w:t>
      </w:r>
      <w:r>
        <w:rPr>
          <w:rFonts w:hint="eastAsia" w:ascii="仿宋" w:hAnsi="仿宋" w:eastAsia="仿宋" w:cs="仿宋"/>
          <w:color w:val="auto"/>
          <w:sz w:val="28"/>
          <w:szCs w:val="28"/>
          <w:highlight w:val="none"/>
          <w:shd w:val="clear" w:color="auto" w:fill="FFFFFF"/>
          <w:lang w:eastAsia="zh-CN"/>
        </w:rPr>
        <w:t>（需“</w:t>
      </w:r>
      <w:r>
        <w:rPr>
          <w:rFonts w:hint="eastAsia" w:ascii="仿宋" w:hAnsi="仿宋" w:eastAsia="仿宋" w:cs="仿宋"/>
          <w:color w:val="auto"/>
          <w:sz w:val="28"/>
          <w:szCs w:val="28"/>
          <w:highlight w:val="none"/>
          <w:shd w:val="clear" w:color="auto" w:fill="FFFFFF"/>
          <w:lang w:val="en-US" w:eastAsia="zh-CN"/>
        </w:rPr>
        <w:t>响应文件</w:t>
      </w:r>
      <w:r>
        <w:rPr>
          <w:rFonts w:hint="eastAsia" w:ascii="仿宋" w:hAnsi="仿宋" w:eastAsia="仿宋" w:cs="仿宋"/>
          <w:color w:val="auto"/>
          <w:sz w:val="28"/>
          <w:szCs w:val="28"/>
          <w:highlight w:val="none"/>
          <w:shd w:val="clear" w:color="auto" w:fill="FFFFFF"/>
          <w:lang w:eastAsia="zh-CN"/>
        </w:rPr>
        <w:t>”格式，可用CA数字证书电子签章）：</w:t>
      </w:r>
    </w:p>
    <w:p w14:paraId="5A4E741B">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eastAsia="zh-CN"/>
        </w:rPr>
        <w:t>①</w:t>
      </w:r>
      <w:r>
        <w:rPr>
          <w:rFonts w:hint="eastAsia" w:ascii="仿宋" w:hAnsi="仿宋" w:eastAsia="仿宋" w:cs="仿宋"/>
          <w:color w:val="auto"/>
          <w:sz w:val="28"/>
          <w:szCs w:val="28"/>
          <w:highlight w:val="none"/>
          <w:shd w:val="clear" w:color="auto" w:fill="FFFFFF"/>
          <w:lang w:val="en-US" w:eastAsia="zh-CN"/>
        </w:rPr>
        <w:t>报价表及报价清单、证明材料。</w:t>
      </w:r>
    </w:p>
    <w:p w14:paraId="1E20AFB7">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eastAsia="zh-CN"/>
        </w:rPr>
        <w:t>②企业资质证书副本复印件（需加盖单位公章）</w:t>
      </w:r>
      <w:r>
        <w:rPr>
          <w:rFonts w:hint="eastAsia" w:ascii="仿宋" w:hAnsi="仿宋" w:eastAsia="仿宋" w:cs="仿宋"/>
          <w:color w:val="auto"/>
          <w:sz w:val="28"/>
          <w:szCs w:val="28"/>
          <w:highlight w:val="none"/>
          <w:shd w:val="clear" w:color="auto" w:fill="FFFFFF"/>
          <w:lang w:val="en-US" w:eastAsia="zh-CN"/>
        </w:rPr>
        <w:t>如有</w:t>
      </w:r>
    </w:p>
    <w:p w14:paraId="29E1AD6D">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③企业营业执照副本复印件（需加盖单位公章）</w:t>
      </w:r>
    </w:p>
    <w:p w14:paraId="3B9AFE87">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④授权委托书，授权委托人身份证</w:t>
      </w:r>
    </w:p>
    <w:p w14:paraId="0D0B73F4">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⑤联合体协议（如有）</w:t>
      </w:r>
    </w:p>
    <w:p w14:paraId="1E9DFB9B">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⑥其他：</w:t>
      </w:r>
      <w:r>
        <w:rPr>
          <w:rFonts w:hint="eastAsia" w:ascii="仿宋" w:hAnsi="仿宋" w:eastAsia="仿宋" w:cs="仿宋"/>
          <w:color w:val="auto"/>
          <w:sz w:val="28"/>
          <w:szCs w:val="28"/>
          <w:highlight w:val="none"/>
          <w:shd w:val="clear" w:color="auto" w:fill="FFFFFF"/>
          <w:lang w:eastAsia="zh-CN"/>
        </w:rPr>
        <w:drawing>
          <wp:inline distT="0" distB="0" distL="0" distR="0">
            <wp:extent cx="3810" cy="201295"/>
            <wp:effectExtent l="0" t="0" r="11430" b="14605"/>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8"/>
                    <a:stretch>
                      <a:fillRect/>
                    </a:stretch>
                  </pic:blipFill>
                  <pic:spPr>
                    <a:xfrm>
                      <a:off x="0" y="0"/>
                      <a:ext cx="4444" cy="201740"/>
                    </a:xfrm>
                    <a:prstGeom prst="rect">
                      <a:avLst/>
                    </a:prstGeom>
                  </pic:spPr>
                </pic:pic>
              </a:graphicData>
            </a:graphic>
          </wp:inline>
        </w:drawing>
      </w:r>
      <w:r>
        <w:rPr>
          <w:rFonts w:hint="eastAsia" w:ascii="仿宋" w:hAnsi="仿宋" w:eastAsia="仿宋" w:cs="仿宋"/>
          <w:color w:val="auto"/>
          <w:sz w:val="28"/>
          <w:szCs w:val="28"/>
          <w:highlight w:val="none"/>
          <w:shd w:val="clear" w:color="auto" w:fill="FFFFFF"/>
          <w:lang w:val="en-US" w:eastAsia="zh-CN"/>
        </w:rPr>
        <w:t>投标供应商认为有必要的其他内容。</w:t>
      </w:r>
    </w:p>
    <w:p w14:paraId="60150A32">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4、参照财政部令第18号，响应文件报价出现前后不一致的，按照下列规定修正：</w:t>
      </w:r>
    </w:p>
    <w:p w14:paraId="12DCE472">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（1）响应人在易滨通平台填写的报价与响应文件中响应函不一致的，以响应文件中响应函为准：</w:t>
      </w:r>
    </w:p>
    <w:p w14:paraId="2E2D7581">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（2）响应文件中响应函报价内容与报价明细表中相应内容不一致，以响应函为准；</w:t>
      </w:r>
    </w:p>
    <w:p w14:paraId="0EC8D40D">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（3）大写金额和小写金额不一致的，以大写金额为准；</w:t>
      </w:r>
    </w:p>
    <w:p w14:paraId="1A703B19">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（4）单价金额小数点或者百分比有明显错位的，以报价明细表的总价为准，并修改单价；</w:t>
      </w:r>
    </w:p>
    <w:p w14:paraId="16DC3389">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（5）总价金额与按单价汇总金额不一致的，以单价金额计算结果为准。</w:t>
      </w:r>
    </w:p>
    <w:p w14:paraId="357FC725">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同时出现2种以上不一致的，按照前款规定的顺序修正。修正后的报价经响应人确认后产生约束力，响应人不确认的，其响应无效。</w:t>
      </w:r>
    </w:p>
    <w:p w14:paraId="0A9328FC">
      <w:pPr>
        <w:pStyle w:val="5"/>
        <w:numPr>
          <w:ilvl w:val="0"/>
          <w:numId w:val="0"/>
        </w:numPr>
        <w:snapToGrid/>
        <w:spacing w:before="0" w:after="0" w:line="500" w:lineRule="auto"/>
        <w:ind w:leftChars="0"/>
        <w:jc w:val="both"/>
        <w:rPr>
          <w:color w:val="auto"/>
          <w:highlight w:val="none"/>
          <w:shd w:val="clear" w:color="auto" w:fill="FFFFFF"/>
        </w:rPr>
      </w:pPr>
      <w:r>
        <w:rPr>
          <w:rFonts w:hint="eastAsia" w:ascii="仿宋_GB2312" w:hAnsi="仿宋_GB2312" w:eastAsia="仿宋_GB2312" w:cs="仿宋_GB2312"/>
          <w:b/>
          <w:color w:val="auto"/>
          <w:sz w:val="32"/>
          <w:highlight w:val="none"/>
          <w:shd w:val="clear" w:color="auto" w:fill="FFFFFF"/>
          <w:lang w:val="en-US" w:eastAsia="zh-CN"/>
        </w:rPr>
        <w:t>六、</w:t>
      </w:r>
      <w:r>
        <w:rPr>
          <w:rFonts w:hint="eastAsia" w:ascii="仿宋_GB2312" w:hAnsi="仿宋_GB2312" w:eastAsia="仿宋_GB2312" w:cs="仿宋_GB2312"/>
          <w:b/>
          <w:color w:val="auto"/>
          <w:sz w:val="32"/>
          <w:highlight w:val="none"/>
          <w:shd w:val="clear" w:color="auto" w:fill="FFFFFF"/>
          <w:lang w:eastAsia="zh-CN"/>
        </w:rPr>
        <w:t>成交</w:t>
      </w:r>
      <w:r>
        <w:rPr>
          <w:color w:val="auto"/>
          <w:highlight w:val="none"/>
          <w:shd w:val="clear" w:color="auto" w:fill="FFFFFF"/>
        </w:rPr>
        <w:t>办法</w:t>
      </w:r>
    </w:p>
    <w:p w14:paraId="2AE369F9">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1、成交方法</w:t>
      </w:r>
    </w:p>
    <w:p w14:paraId="027ADB4D">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sym w:font="Wingdings" w:char="00A8"/>
      </w:r>
      <w:r>
        <w:rPr>
          <w:rFonts w:hint="eastAsia" w:ascii="仿宋" w:hAnsi="仿宋" w:eastAsia="仿宋" w:cs="仿宋"/>
          <w:color w:val="auto"/>
          <w:sz w:val="28"/>
          <w:szCs w:val="28"/>
          <w:highlight w:val="none"/>
          <w:shd w:val="clear" w:color="auto" w:fill="FFFFFF"/>
          <w:lang w:eastAsia="zh-CN"/>
        </w:rPr>
        <w:t>方案一：最低价法，发起人/中介机构确认响应文件满足交易文件的实质性要求后，确定报价最低的响应人为成交候选人。如响应人项目最低报价相同，由发起人通过综合评估确定成交候选人。</w:t>
      </w:r>
    </w:p>
    <w:p w14:paraId="7A40D344">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sym w:font="Wingdings" w:char="00FE"/>
      </w:r>
      <w:r>
        <w:rPr>
          <w:rFonts w:hint="eastAsia" w:ascii="仿宋" w:hAnsi="仿宋" w:eastAsia="仿宋" w:cs="仿宋"/>
          <w:color w:val="auto"/>
          <w:sz w:val="28"/>
          <w:szCs w:val="28"/>
          <w:highlight w:val="none"/>
          <w:shd w:val="clear" w:color="auto" w:fill="FFFFFF"/>
          <w:lang w:eastAsia="zh-CN"/>
        </w:rPr>
        <w:t>方案二：综合评估法，综合评估法是指发起人组建评审小组，对具有承接该项目资格的响应人方案进行评估，结合项目概况和自身实际需要，综合考虑商务、信用、资信、方案优劣等因素后，以投票形式确定成交候选人。</w:t>
      </w:r>
    </w:p>
    <w:p w14:paraId="03E7B74E">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2、评分细则</w:t>
      </w:r>
    </w:p>
    <w:p w14:paraId="7271CEFC">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（一）资信技术分评审（70分）</w:t>
      </w:r>
    </w:p>
    <w:p w14:paraId="6CCD2802">
      <w:pPr>
        <w:widowControl w:val="0"/>
        <w:kinsoku/>
        <w:wordWrap w:val="0"/>
        <w:autoSpaceDE/>
        <w:autoSpaceDN/>
        <w:adjustRightInd/>
        <w:snapToGrid/>
        <w:spacing w:before="0" w:line="360" w:lineRule="auto"/>
        <w:ind w:left="0" w:leftChars="0" w:firstLine="403"/>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资信技术得分按照评标委员会成员的独立评分结果汇总后的算术平均分计算，计算公式为：资信技术得分＝评标委员会所有成员评分合计数/评标委员会组成人员数。（计算过程及计算结果小数点后保留两位小数，小数点后第三位“四舍五入”）。</w:t>
      </w:r>
    </w:p>
    <w:p w14:paraId="1C438F2D">
      <w:pPr>
        <w:widowControl w:val="0"/>
        <w:kinsoku/>
        <w:wordWrap w:val="0"/>
        <w:autoSpaceDE/>
        <w:autoSpaceDN/>
        <w:adjustRightInd/>
        <w:snapToGrid/>
        <w:spacing w:before="0" w:line="360" w:lineRule="auto"/>
        <w:ind w:left="0" w:leftChars="0" w:firstLine="403"/>
        <w:jc w:val="both"/>
        <w:textAlignment w:val="auto"/>
        <w:rPr>
          <w:rFonts w:hint="eastAsia" w:ascii="仿宋_GB2312" w:hAnsi="仿宋_GB2312" w:eastAsia="仿宋_GB2312" w:cs="仿宋_GB2312"/>
          <w:color w:val="auto"/>
          <w:sz w:val="32"/>
          <w:szCs w:val="21"/>
          <w:highlight w:val="none"/>
          <w:shd w:val="clear" w:color="auto" w:fill="FFFFFF"/>
          <w:lang w:eastAsia="zh-CN" w:bidi="ar"/>
        </w:rPr>
      </w:pPr>
      <w:r>
        <w:rPr>
          <w:rFonts w:hint="eastAsia" w:ascii="仿宋" w:hAnsi="仿宋" w:eastAsia="仿宋" w:cs="仿宋"/>
          <w:color w:val="auto"/>
          <w:sz w:val="28"/>
          <w:szCs w:val="28"/>
          <w:highlight w:val="none"/>
          <w:shd w:val="clear" w:color="auto" w:fill="FFFFFF"/>
          <w:lang w:eastAsia="zh-CN"/>
        </w:rPr>
        <w:tab/>
      </w:r>
      <w:r>
        <w:rPr>
          <w:rFonts w:hint="eastAsia" w:ascii="仿宋" w:hAnsi="仿宋" w:eastAsia="仿宋" w:cs="仿宋"/>
          <w:color w:val="auto"/>
          <w:sz w:val="28"/>
          <w:szCs w:val="28"/>
          <w:highlight w:val="none"/>
          <w:shd w:val="clear" w:color="auto" w:fill="FFFFFF"/>
          <w:lang w:eastAsia="zh-CN"/>
        </w:rPr>
        <w:t>（1）资信业绩 （2</w:t>
      </w:r>
      <w:r>
        <w:rPr>
          <w:rFonts w:hint="eastAsia" w:ascii="仿宋" w:hAnsi="仿宋" w:eastAsia="仿宋" w:cs="仿宋"/>
          <w:color w:val="auto"/>
          <w:sz w:val="28"/>
          <w:szCs w:val="28"/>
          <w:highlight w:val="none"/>
          <w:shd w:val="clear" w:color="auto" w:fill="FFFFFF"/>
          <w:lang w:val="en-US" w:eastAsia="zh-CN"/>
        </w:rPr>
        <w:t>0</w:t>
      </w:r>
      <w:r>
        <w:rPr>
          <w:rFonts w:hint="eastAsia" w:ascii="仿宋" w:hAnsi="仿宋" w:eastAsia="仿宋" w:cs="仿宋"/>
          <w:color w:val="auto"/>
          <w:sz w:val="28"/>
          <w:szCs w:val="28"/>
          <w:highlight w:val="none"/>
          <w:shd w:val="clear" w:color="auto" w:fill="FFFFFF"/>
          <w:lang w:eastAsia="zh-CN"/>
        </w:rPr>
        <w:t xml:space="preserve">分）             </w:t>
      </w:r>
      <w:r>
        <w:rPr>
          <w:rFonts w:hint="eastAsia" w:ascii="仿宋_GB2312" w:hAnsi="仿宋_GB2312" w:eastAsia="仿宋_GB2312" w:cs="仿宋_GB2312"/>
          <w:color w:val="auto"/>
          <w:sz w:val="32"/>
          <w:szCs w:val="21"/>
          <w:highlight w:val="none"/>
          <w:u w:val="none"/>
          <w:shd w:val="clear" w:color="auto" w:fill="FFFFFF"/>
          <w:lang w:eastAsia="zh-CN" w:bidi="ar"/>
        </w:rPr>
        <w:t xml:space="preserve">                     </w:t>
      </w:r>
    </w:p>
    <w:tbl>
      <w:tblPr>
        <w:tblStyle w:val="2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6"/>
        <w:gridCol w:w="7200"/>
        <w:gridCol w:w="1008"/>
      </w:tblGrid>
      <w:tr w14:paraId="5B3A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166" w:type="dxa"/>
            <w:vAlign w:val="center"/>
          </w:tcPr>
          <w:p w14:paraId="5561D67F">
            <w:pPr>
              <w:snapToGrid/>
              <w:spacing w:before="0" w:line="500" w:lineRule="auto"/>
              <w:ind w:left="0" w:leftChars="0" w:firstLine="0"/>
              <w:jc w:val="center"/>
              <w:rPr>
                <w:rFonts w:hint="eastAsia" w:ascii="仿宋" w:hAnsi="仿宋" w:eastAsia="仿宋" w:cs="仿宋"/>
                <w:color w:val="auto"/>
                <w:position w:val="0"/>
                <w:sz w:val="24"/>
                <w:szCs w:val="24"/>
              </w:rPr>
            </w:pPr>
            <w:r>
              <w:rPr>
                <w:rFonts w:hint="eastAsia" w:ascii="仿宋" w:hAnsi="仿宋" w:eastAsia="仿宋" w:cs="仿宋"/>
                <w:color w:val="auto"/>
                <w:spacing w:val="0"/>
                <w:sz w:val="24"/>
                <w:szCs w:val="24"/>
                <w:highlight w:val="none"/>
                <w:shd w:val="clear" w:color="auto" w:fill="FFFFFF"/>
                <w:lang w:eastAsia="zh-CN" w:bidi="ar"/>
              </w:rPr>
              <w:t>序号</w:t>
            </w:r>
          </w:p>
        </w:tc>
        <w:tc>
          <w:tcPr>
            <w:tcW w:w="7200" w:type="dxa"/>
            <w:vAlign w:val="center"/>
          </w:tcPr>
          <w:p w14:paraId="2F58B1E1">
            <w:pPr>
              <w:snapToGrid/>
              <w:spacing w:before="0" w:line="500" w:lineRule="auto"/>
              <w:ind w:left="0" w:leftChars="0" w:firstLine="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highlight w:val="none"/>
                <w:shd w:val="clear" w:color="auto" w:fill="FFFFFF"/>
                <w:lang w:eastAsia="zh-CN" w:bidi="ar"/>
              </w:rPr>
              <w:t>评分内容</w:t>
            </w:r>
          </w:p>
        </w:tc>
        <w:tc>
          <w:tcPr>
            <w:tcW w:w="1008" w:type="dxa"/>
            <w:vAlign w:val="center"/>
          </w:tcPr>
          <w:p w14:paraId="3575189B">
            <w:pPr>
              <w:snapToGrid/>
              <w:spacing w:before="0" w:line="500" w:lineRule="auto"/>
              <w:ind w:left="0" w:leftChars="0" w:firstLine="0"/>
              <w:jc w:val="both"/>
              <w:rPr>
                <w:rFonts w:hint="eastAsia" w:ascii="仿宋" w:hAnsi="仿宋" w:eastAsia="仿宋" w:cs="仿宋"/>
                <w:color w:val="auto"/>
                <w:sz w:val="24"/>
                <w:szCs w:val="24"/>
              </w:rPr>
            </w:pPr>
            <w:r>
              <w:rPr>
                <w:rFonts w:hint="eastAsia" w:ascii="仿宋" w:hAnsi="仿宋" w:eastAsia="仿宋" w:cs="仿宋"/>
                <w:color w:val="auto"/>
                <w:spacing w:val="0"/>
                <w:sz w:val="24"/>
                <w:szCs w:val="24"/>
                <w:highlight w:val="none"/>
                <w:shd w:val="clear" w:color="auto" w:fill="FFFFFF"/>
                <w:lang w:eastAsia="zh-CN" w:bidi="ar"/>
              </w:rPr>
              <w:t>分值</w:t>
            </w:r>
          </w:p>
        </w:tc>
      </w:tr>
      <w:tr w14:paraId="19CD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166" w:type="dxa"/>
            <w:vAlign w:val="top"/>
          </w:tcPr>
          <w:p w14:paraId="5936D549">
            <w:pPr>
              <w:spacing w:before="156" w:line="240" w:lineRule="auto"/>
              <w:ind w:left="0" w:leftChars="0"/>
              <w:jc w:val="center"/>
              <w:rPr>
                <w:rFonts w:hint="eastAsia" w:ascii="仿宋" w:hAnsi="仿宋" w:eastAsia="仿宋" w:cs="仿宋"/>
                <w:color w:val="auto"/>
                <w:sz w:val="24"/>
                <w:szCs w:val="24"/>
              </w:rPr>
            </w:pPr>
          </w:p>
          <w:p w14:paraId="4ED4B9EF">
            <w:pPr>
              <w:spacing w:before="156"/>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position w:val="0"/>
                <w:sz w:val="24"/>
                <w:szCs w:val="24"/>
              </w:rPr>
              <w:t>1</w:t>
            </w:r>
          </w:p>
        </w:tc>
        <w:tc>
          <w:tcPr>
            <w:tcW w:w="7200" w:type="dxa"/>
            <w:vAlign w:val="top"/>
          </w:tcPr>
          <w:p w14:paraId="6EC6F4F2">
            <w:pPr>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证书（3分）：</w:t>
            </w:r>
          </w:p>
          <w:p w14:paraId="4311889B">
            <w:pPr>
              <w:widowControl w:val="0"/>
              <w:kinsoku/>
              <w:autoSpaceDE/>
              <w:autoSpaceDN/>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具有有效期内的质量管理体系认证证书、环境管理体系认证证书、职业健康管理体系认证证书的，</w:t>
            </w:r>
            <w:r>
              <w:rPr>
                <w:rFonts w:hint="eastAsia" w:ascii="仿宋" w:hAnsi="仿宋" w:eastAsia="仿宋" w:cs="仿宋"/>
                <w:sz w:val="24"/>
                <w:szCs w:val="24"/>
                <w:lang w:val="zh-CN" w:eastAsia="zh-CN"/>
              </w:rPr>
              <w:t>全部具有得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分，少</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项不得分。</w:t>
            </w:r>
          </w:p>
          <w:p w14:paraId="54B8B356">
            <w:pPr>
              <w:widowControl w:val="0"/>
              <w:kinsoku/>
              <w:autoSpaceDE/>
              <w:autoSpaceDN/>
              <w:adjustRightInd/>
              <w:snapToGrid/>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投标文件中</w:t>
            </w:r>
            <w:r>
              <w:rPr>
                <w:rFonts w:hint="eastAsia" w:ascii="仿宋" w:hAnsi="仿宋" w:eastAsia="仿宋" w:cs="仿宋"/>
                <w:sz w:val="24"/>
                <w:szCs w:val="24"/>
              </w:rPr>
              <w:t>提供上述有效期内的证书复印件</w:t>
            </w:r>
            <w:r>
              <w:rPr>
                <w:rFonts w:hint="eastAsia" w:ascii="仿宋" w:hAnsi="仿宋" w:eastAsia="仿宋" w:cs="仿宋"/>
                <w:sz w:val="24"/>
                <w:szCs w:val="24"/>
                <w:highlight w:val="none"/>
                <w:lang w:val="en-US" w:eastAsia="zh-CN"/>
              </w:rPr>
              <w:t>和全国认证认可信息公共服务平台官网：</w:t>
            </w:r>
          </w:p>
          <w:p w14:paraId="779269E6">
            <w:pPr>
              <w:widowControl w:val="0"/>
              <w:kinsoku/>
              <w:autoSpaceDE/>
              <w:autoSpaceDN/>
              <w:adjustRightInd/>
              <w:snapToGrid/>
              <w:spacing w:line="240" w:lineRule="auto"/>
              <w:jc w:val="both"/>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highlight w:val="none"/>
                <w:lang w:val="en-US" w:eastAsia="zh-CN"/>
              </w:rPr>
              <w:t>（http://cx.cnca.cn/CertECloud/result/skipResultList）上的证书查询截图并加盖公章</w:t>
            </w:r>
            <w:r>
              <w:rPr>
                <w:rFonts w:hint="eastAsia" w:ascii="仿宋" w:hAnsi="仿宋" w:eastAsia="仿宋" w:cs="仿宋"/>
                <w:b w:val="0"/>
                <w:bCs w:val="0"/>
                <w:kern w:val="0"/>
                <w:sz w:val="24"/>
                <w:szCs w:val="24"/>
                <w:highlight w:val="none"/>
              </w:rPr>
              <w:t>。</w:t>
            </w:r>
          </w:p>
        </w:tc>
        <w:tc>
          <w:tcPr>
            <w:tcW w:w="1008" w:type="dxa"/>
            <w:vAlign w:val="center"/>
          </w:tcPr>
          <w:p w14:paraId="1D248F4E">
            <w:pPr>
              <w:spacing w:before="156"/>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03B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1166" w:type="dxa"/>
            <w:vAlign w:val="center"/>
          </w:tcPr>
          <w:p w14:paraId="3EED202A">
            <w:pPr>
              <w:spacing w:before="156"/>
              <w:ind w:firstLine="480" w:firstLineChars="200"/>
              <w:jc w:val="both"/>
              <w:rPr>
                <w:rFonts w:hint="eastAsia" w:ascii="仿宋" w:hAnsi="仿宋" w:eastAsia="仿宋" w:cs="仿宋"/>
                <w:color w:val="auto"/>
                <w:position w:val="0"/>
                <w:sz w:val="24"/>
                <w:szCs w:val="24"/>
                <w:lang w:val="en-US" w:eastAsia="zh-CN"/>
              </w:rPr>
            </w:pPr>
            <w:r>
              <w:rPr>
                <w:rFonts w:hint="eastAsia" w:ascii="仿宋" w:hAnsi="仿宋" w:eastAsia="仿宋" w:cs="仿宋"/>
                <w:color w:val="auto"/>
                <w:position w:val="0"/>
                <w:sz w:val="24"/>
                <w:szCs w:val="24"/>
                <w:lang w:val="en-US" w:eastAsia="zh-CN"/>
              </w:rPr>
              <w:t>2</w:t>
            </w:r>
          </w:p>
        </w:tc>
        <w:tc>
          <w:tcPr>
            <w:tcW w:w="7200" w:type="dxa"/>
            <w:vAlign w:val="top"/>
          </w:tcPr>
          <w:p w14:paraId="62E2572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备案（4分）：</w:t>
            </w:r>
          </w:p>
          <w:p w14:paraId="2798B1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lang w:val="en-US" w:eastAsia="zh-CN"/>
              </w:rPr>
              <w:t>投</w:t>
            </w:r>
            <w:r>
              <w:rPr>
                <w:rFonts w:hint="eastAsia" w:ascii="仿宋" w:hAnsi="仿宋" w:eastAsia="仿宋" w:cs="仿宋"/>
                <w:color w:val="auto"/>
                <w:sz w:val="24"/>
                <w:szCs w:val="24"/>
                <w:highlight w:val="none"/>
                <w:lang w:val="en-US" w:eastAsia="zh-CN"/>
              </w:rPr>
              <w:t>标人进入浙江省地震主管部门认证并公告的地震安全性评价从业单位名录的得4分，没有不得分。</w:t>
            </w:r>
          </w:p>
          <w:p w14:paraId="2FF24A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投标文件中提供公告文件复印件或官网公告截图证明并加盖投标单位公章。</w:t>
            </w:r>
          </w:p>
        </w:tc>
        <w:tc>
          <w:tcPr>
            <w:tcW w:w="1008" w:type="dxa"/>
            <w:vAlign w:val="center"/>
          </w:tcPr>
          <w:p w14:paraId="6EF90B1D">
            <w:pPr>
              <w:spacing w:before="156"/>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657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1166" w:type="dxa"/>
            <w:vAlign w:val="center"/>
          </w:tcPr>
          <w:p w14:paraId="1457FAD9">
            <w:pPr>
              <w:spacing w:before="156"/>
              <w:ind w:firstLine="480" w:firstLineChars="200"/>
              <w:jc w:val="both"/>
              <w:rPr>
                <w:rFonts w:hint="eastAsia" w:ascii="仿宋" w:hAnsi="仿宋" w:eastAsia="仿宋" w:cs="仿宋"/>
                <w:color w:val="auto"/>
                <w:position w:val="0"/>
                <w:sz w:val="24"/>
                <w:szCs w:val="24"/>
                <w:highlight w:val="none"/>
                <w:lang w:val="en-US" w:eastAsia="zh-CN"/>
              </w:rPr>
            </w:pPr>
            <w:r>
              <w:rPr>
                <w:rFonts w:hint="eastAsia" w:ascii="仿宋" w:hAnsi="仿宋" w:eastAsia="仿宋" w:cs="仿宋"/>
                <w:color w:val="auto"/>
                <w:position w:val="0"/>
                <w:sz w:val="24"/>
                <w:szCs w:val="24"/>
                <w:highlight w:val="none"/>
                <w:lang w:val="en-US" w:eastAsia="zh-CN"/>
              </w:rPr>
              <w:t>3</w:t>
            </w:r>
          </w:p>
        </w:tc>
        <w:tc>
          <w:tcPr>
            <w:tcW w:w="7200" w:type="dxa"/>
            <w:shd w:val="clear" w:color="auto" w:fill="auto"/>
            <w:vAlign w:val="top"/>
          </w:tcPr>
          <w:p w14:paraId="09697F93">
            <w:pPr>
              <w:adjustRightInd/>
              <w:snapToGrid/>
              <w:spacing w:line="360" w:lineRule="exact"/>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业绩（3分）：</w:t>
            </w:r>
          </w:p>
          <w:p w14:paraId="59ED3DE1">
            <w:pPr>
              <w:adjustRightInd/>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提供</w:t>
            </w:r>
            <w:r>
              <w:rPr>
                <w:rFonts w:hint="eastAsia" w:ascii="仿宋" w:hAnsi="仿宋" w:eastAsia="仿宋" w:cs="仿宋"/>
                <w:color w:val="auto"/>
                <w:spacing w:val="0"/>
                <w:sz w:val="24"/>
                <w:szCs w:val="24"/>
                <w:highlight w:val="none"/>
              </w:rPr>
              <w:t>202</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月1日（合同签订时间为准）至今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shd w:val="clear"/>
                <w:lang w:val="en-US" w:eastAsia="zh-CN"/>
              </w:rPr>
              <w:t>完成过</w:t>
            </w:r>
            <w:r>
              <w:rPr>
                <w:rFonts w:hint="eastAsia" w:ascii="仿宋" w:hAnsi="仿宋" w:eastAsia="仿宋" w:cs="仿宋"/>
                <w:color w:val="auto"/>
                <w:spacing w:val="0"/>
                <w:sz w:val="24"/>
                <w:szCs w:val="24"/>
                <w:highlight w:val="none"/>
              </w:rPr>
              <w:t>类似</w:t>
            </w:r>
            <w:r>
              <w:rPr>
                <w:rFonts w:hint="eastAsia" w:ascii="仿宋" w:hAnsi="仿宋" w:eastAsia="仿宋" w:cs="仿宋"/>
                <w:color w:val="auto"/>
                <w:sz w:val="24"/>
                <w:szCs w:val="24"/>
                <w:highlight w:val="none"/>
              </w:rPr>
              <w:t>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供水管网</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sz w:val="24"/>
                <w:szCs w:val="24"/>
                <w:highlight w:val="none"/>
              </w:rPr>
              <w:t>过江通道</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隧道项目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地震安全性评价</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每提供</w:t>
            </w:r>
            <w:r>
              <w:rPr>
                <w:rFonts w:hint="eastAsia" w:ascii="仿宋" w:hAnsi="仿宋" w:eastAsia="仿宋" w:cs="仿宋"/>
                <w:color w:val="auto"/>
                <w:sz w:val="24"/>
                <w:szCs w:val="24"/>
                <w:highlight w:val="none"/>
              </w:rPr>
              <w:t>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分。（未完成或进行中的项目业绩不计入本项得分）</w:t>
            </w:r>
          </w:p>
          <w:p w14:paraId="48107779">
            <w:pPr>
              <w:adjustRightInd/>
              <w:snapToGrid/>
              <w:spacing w:before="0" w:line="360" w:lineRule="exact"/>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投标文件中</w:t>
            </w:r>
            <w:r>
              <w:rPr>
                <w:rFonts w:hint="eastAsia" w:ascii="仿宋" w:hAnsi="仿宋" w:eastAsia="仿宋" w:cs="仿宋"/>
                <w:bCs w:val="0"/>
                <w:color w:val="auto"/>
                <w:sz w:val="24"/>
                <w:szCs w:val="24"/>
                <w:highlight w:val="none"/>
                <w:lang w:eastAsia="zh-CN"/>
              </w:rPr>
              <w:t>需</w:t>
            </w:r>
            <w:r>
              <w:rPr>
                <w:rFonts w:hint="eastAsia" w:ascii="仿宋" w:hAnsi="仿宋" w:eastAsia="仿宋" w:cs="仿宋"/>
                <w:color w:val="auto"/>
                <w:sz w:val="24"/>
                <w:szCs w:val="24"/>
                <w:highlight w:val="none"/>
                <w:lang w:eastAsia="zh-CN"/>
              </w:rPr>
              <w:t>同时提供合同及地震主管部门批复函的复印件并加盖</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单位公章</w:t>
            </w:r>
            <w:r>
              <w:rPr>
                <w:rFonts w:hint="eastAsia" w:ascii="仿宋" w:hAnsi="仿宋" w:eastAsia="仿宋" w:cs="仿宋"/>
                <w:color w:val="auto"/>
                <w:spacing w:val="0"/>
                <w:sz w:val="24"/>
                <w:szCs w:val="24"/>
                <w:highlight w:val="none"/>
                <w:lang w:eastAsia="zh-CN"/>
              </w:rPr>
              <w:t>。</w:t>
            </w:r>
          </w:p>
          <w:p w14:paraId="679F4C87">
            <w:pPr>
              <w:adjustRightInd/>
              <w:snapToGrid/>
              <w:spacing w:before="0" w:line="360" w:lineRule="exact"/>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b/>
                <w:bCs/>
                <w:color w:val="auto"/>
                <w:spacing w:val="0"/>
                <w:sz w:val="24"/>
                <w:szCs w:val="24"/>
                <w:highlight w:val="none"/>
                <w:lang w:val="en-US" w:eastAsia="zh-CN"/>
              </w:rPr>
              <w:t>注：资格审查中业绩</w:t>
            </w:r>
            <w:r>
              <w:rPr>
                <w:rFonts w:hint="eastAsia" w:ascii="仿宋" w:hAnsi="仿宋" w:eastAsia="仿宋" w:cs="仿宋"/>
                <w:b/>
                <w:bCs/>
                <w:color w:val="auto"/>
                <w:sz w:val="24"/>
                <w:szCs w:val="24"/>
                <w:highlight w:val="none"/>
                <w:u w:val="none"/>
                <w:lang w:val="en-US" w:eastAsia="zh-CN" w:bidi="ar"/>
              </w:rPr>
              <w:t>不计入</w:t>
            </w:r>
            <w:r>
              <w:rPr>
                <w:rFonts w:hint="eastAsia" w:ascii="仿宋" w:hAnsi="仿宋" w:eastAsia="仿宋" w:cs="仿宋"/>
                <w:b/>
                <w:bCs/>
                <w:color w:val="auto"/>
                <w:spacing w:val="0"/>
                <w:sz w:val="24"/>
                <w:szCs w:val="24"/>
                <w:highlight w:val="none"/>
                <w:lang w:val="en-US" w:eastAsia="zh-CN"/>
              </w:rPr>
              <w:t>本项评分。</w:t>
            </w:r>
          </w:p>
        </w:tc>
        <w:tc>
          <w:tcPr>
            <w:tcW w:w="1008" w:type="dxa"/>
            <w:shd w:val="clear" w:color="auto" w:fill="auto"/>
            <w:vAlign w:val="center"/>
          </w:tcPr>
          <w:p w14:paraId="091242D3">
            <w:pPr>
              <w:spacing w:before="156"/>
              <w:ind w:firstLine="480" w:firstLineChars="20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position w:val="0"/>
                <w:sz w:val="24"/>
                <w:szCs w:val="24"/>
                <w:lang w:val="en-US" w:eastAsia="zh-CN"/>
              </w:rPr>
              <w:t>3</w:t>
            </w:r>
          </w:p>
        </w:tc>
      </w:tr>
      <w:tr w14:paraId="4B5E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166" w:type="dxa"/>
            <w:vAlign w:val="center"/>
          </w:tcPr>
          <w:p w14:paraId="4ED29573">
            <w:pPr>
              <w:spacing w:before="156" w:line="240" w:lineRule="auto"/>
              <w:ind w:left="420" w:leftChars="200"/>
              <w:jc w:val="center"/>
              <w:rPr>
                <w:rFonts w:hint="eastAsia" w:ascii="仿宋" w:hAnsi="仿宋" w:eastAsia="仿宋" w:cs="仿宋"/>
                <w:color w:val="auto"/>
                <w:sz w:val="24"/>
                <w:szCs w:val="24"/>
                <w:highlight w:val="none"/>
              </w:rPr>
            </w:pPr>
          </w:p>
          <w:p w14:paraId="06F6F5D5">
            <w:pPr>
              <w:spacing w:before="156"/>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0"/>
                <w:sz w:val="24"/>
                <w:szCs w:val="24"/>
                <w:highlight w:val="none"/>
                <w:lang w:val="en-US" w:eastAsia="zh-CN"/>
              </w:rPr>
              <w:t>4</w:t>
            </w:r>
          </w:p>
        </w:tc>
        <w:tc>
          <w:tcPr>
            <w:tcW w:w="7200" w:type="dxa"/>
            <w:vAlign w:val="top"/>
          </w:tcPr>
          <w:p w14:paraId="027F9F85">
            <w:pPr>
              <w:spacing w:line="36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评标委员会对</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拟投入的服务团队人员职称、专业水平、工作经验情况进行评议（</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p w14:paraId="3F2128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项目负责人</w:t>
            </w:r>
            <w:r>
              <w:rPr>
                <w:rFonts w:hint="eastAsia" w:ascii="仿宋" w:hAnsi="仿宋" w:eastAsia="仿宋" w:cs="仿宋"/>
                <w:b/>
                <w:bCs/>
                <w:color w:val="auto"/>
                <w:sz w:val="24"/>
                <w:szCs w:val="24"/>
                <w:highlight w:val="none"/>
                <w:lang w:val="en-US" w:eastAsia="zh-CN"/>
              </w:rPr>
              <w:t>（最高得4分）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0"/>
                <w:sz w:val="24"/>
                <w:szCs w:val="24"/>
                <w:highlight w:val="none"/>
                <w:lang w:val="en-US" w:eastAsia="zh-CN"/>
              </w:rPr>
              <w:t>提供</w:t>
            </w:r>
            <w:r>
              <w:rPr>
                <w:rFonts w:hint="eastAsia" w:ascii="仿宋" w:hAnsi="仿宋" w:eastAsia="仿宋" w:cs="仿宋"/>
                <w:color w:val="auto"/>
                <w:spacing w:val="0"/>
                <w:sz w:val="24"/>
                <w:szCs w:val="24"/>
                <w:highlight w:val="none"/>
              </w:rPr>
              <w:t>202</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月1日（合同签订时间为准）至今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z w:val="24"/>
                <w:szCs w:val="24"/>
                <w:highlight w:val="none"/>
                <w:lang w:val="en-US" w:eastAsia="zh-CN"/>
              </w:rPr>
              <w:t>拟派项目负责人</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地震学</w:t>
            </w:r>
            <w:r>
              <w:rPr>
                <w:rFonts w:hint="eastAsia" w:ascii="仿宋" w:hAnsi="仿宋" w:eastAsia="仿宋" w:cs="仿宋"/>
                <w:color w:val="auto"/>
                <w:sz w:val="24"/>
                <w:szCs w:val="24"/>
                <w:highlight w:val="none"/>
              </w:rPr>
              <w:t>或地震</w:t>
            </w:r>
            <w:r>
              <w:rPr>
                <w:rFonts w:hint="eastAsia" w:ascii="仿宋" w:hAnsi="仿宋" w:eastAsia="仿宋" w:cs="仿宋"/>
                <w:color w:val="auto"/>
                <w:sz w:val="24"/>
                <w:szCs w:val="24"/>
                <w:highlight w:val="none"/>
                <w:lang w:val="en-US" w:eastAsia="zh-CN"/>
              </w:rPr>
              <w:t>地质学</w:t>
            </w:r>
            <w:r>
              <w:rPr>
                <w:rFonts w:hint="eastAsia" w:ascii="仿宋" w:hAnsi="仿宋" w:eastAsia="仿宋" w:cs="仿宋"/>
                <w:color w:val="auto"/>
                <w:sz w:val="24"/>
                <w:szCs w:val="24"/>
                <w:highlight w:val="none"/>
              </w:rPr>
              <w:t>或地震工程学</w:t>
            </w:r>
            <w:r>
              <w:rPr>
                <w:rFonts w:hint="eastAsia" w:ascii="仿宋" w:hAnsi="仿宋" w:eastAsia="仿宋" w:cs="仿宋"/>
                <w:color w:val="auto"/>
                <w:sz w:val="24"/>
                <w:szCs w:val="24"/>
                <w:highlight w:val="none"/>
                <w:lang w:val="en-US" w:eastAsia="zh-CN"/>
              </w:rPr>
              <w:t>高级职称</w:t>
            </w:r>
            <w:r>
              <w:rPr>
                <w:rFonts w:hint="eastAsia" w:ascii="仿宋" w:hAnsi="仿宋" w:eastAsia="仿宋" w:cs="仿宋"/>
                <w:color w:val="auto"/>
                <w:sz w:val="24"/>
                <w:szCs w:val="24"/>
                <w:highlight w:val="none"/>
              </w:rPr>
              <w:t>且具有担任</w:t>
            </w:r>
            <w:r>
              <w:rPr>
                <w:rFonts w:hint="eastAsia" w:ascii="仿宋" w:hAnsi="仿宋" w:eastAsia="仿宋" w:cs="仿宋"/>
                <w:color w:val="auto"/>
                <w:sz w:val="24"/>
                <w:szCs w:val="24"/>
                <w:highlight w:val="none"/>
                <w:lang w:val="en-US" w:eastAsia="zh-CN"/>
              </w:rPr>
              <w:t>类似工程（</w:t>
            </w:r>
            <w:r>
              <w:rPr>
                <w:rFonts w:hint="eastAsia" w:ascii="仿宋" w:hAnsi="仿宋" w:eastAsia="仿宋" w:cs="仿宋"/>
                <w:color w:val="auto"/>
                <w:sz w:val="24"/>
                <w:szCs w:val="24"/>
                <w:highlight w:val="none"/>
              </w:rPr>
              <w:t>供水管网</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过江通道</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隧道项目</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地震安全性评价项目负责人的业绩，每提供一个项目业绩得2分。</w:t>
            </w:r>
          </w:p>
          <w:p w14:paraId="2E35131B">
            <w:pPr>
              <w:widowControl w:val="0"/>
              <w:kinsoku/>
              <w:adjustRightInd w:val="0"/>
              <w:snapToGrid/>
              <w:spacing w:line="360" w:lineRule="exact"/>
              <w:textAlignment w:val="auto"/>
              <w:rPr>
                <w:rFonts w:hint="eastAsia"/>
                <w:highlight w:val="none"/>
              </w:rPr>
            </w:pPr>
            <w:r>
              <w:rPr>
                <w:rFonts w:hint="eastAsia" w:ascii="仿宋" w:hAnsi="仿宋" w:eastAsia="仿宋" w:cs="仿宋"/>
                <w:bCs w:val="0"/>
                <w:color w:val="auto"/>
                <w:sz w:val="24"/>
                <w:szCs w:val="24"/>
                <w:highlight w:val="none"/>
                <w:lang w:val="en-US" w:eastAsia="zh-CN"/>
              </w:rPr>
              <w:t>投标</w:t>
            </w:r>
            <w:r>
              <w:rPr>
                <w:rFonts w:hint="eastAsia" w:ascii="仿宋" w:hAnsi="仿宋" w:eastAsia="仿宋" w:cs="仿宋"/>
                <w:bCs/>
                <w:sz w:val="24"/>
                <w:szCs w:val="24"/>
                <w:highlight w:val="none"/>
                <w:lang w:val="en-US" w:eastAsia="zh-CN"/>
              </w:rPr>
              <w:t>文件中</w:t>
            </w:r>
            <w:r>
              <w:rPr>
                <w:rFonts w:hint="eastAsia" w:ascii="仿宋" w:hAnsi="仿宋" w:eastAsia="仿宋" w:cs="仿宋"/>
                <w:bCs/>
                <w:sz w:val="24"/>
                <w:szCs w:val="24"/>
                <w:highlight w:val="none"/>
              </w:rPr>
              <w:t>同时提供合同</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完成</w:t>
            </w:r>
            <w:r>
              <w:rPr>
                <w:rFonts w:hint="eastAsia" w:ascii="仿宋" w:hAnsi="仿宋" w:eastAsia="仿宋" w:cs="仿宋"/>
                <w:bCs/>
                <w:sz w:val="24"/>
                <w:szCs w:val="24"/>
                <w:highlight w:val="none"/>
                <w:lang w:val="en-US" w:eastAsia="zh-CN"/>
              </w:rPr>
              <w:t>类似项目</w:t>
            </w:r>
            <w:r>
              <w:rPr>
                <w:rFonts w:hint="eastAsia" w:ascii="仿宋" w:hAnsi="仿宋" w:eastAsia="仿宋" w:cs="仿宋"/>
                <w:bCs/>
                <w:sz w:val="24"/>
                <w:szCs w:val="24"/>
                <w:highlight w:val="none"/>
              </w:rPr>
              <w:t>情况证明复印件</w:t>
            </w:r>
            <w:r>
              <w:rPr>
                <w:rFonts w:hint="eastAsia" w:ascii="仿宋" w:hAnsi="仿宋" w:eastAsia="仿宋" w:cs="仿宋"/>
                <w:bCs/>
                <w:sz w:val="24"/>
                <w:szCs w:val="24"/>
                <w:highlight w:val="none"/>
                <w:lang w:eastAsia="zh-CN"/>
              </w:rPr>
              <w:t>、投标单位缴纳的近</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个月社保证明、</w:t>
            </w:r>
            <w:r>
              <w:rPr>
                <w:rFonts w:hint="eastAsia" w:ascii="仿宋" w:hAnsi="仿宋" w:eastAsia="仿宋" w:cs="仿宋"/>
                <w:bCs/>
                <w:sz w:val="24"/>
                <w:szCs w:val="24"/>
                <w:highlight w:val="none"/>
              </w:rPr>
              <w:t>职称</w:t>
            </w:r>
            <w:r>
              <w:rPr>
                <w:rFonts w:hint="eastAsia" w:ascii="仿宋" w:hAnsi="仿宋" w:eastAsia="仿宋" w:cs="仿宋"/>
                <w:bCs/>
                <w:sz w:val="24"/>
                <w:szCs w:val="24"/>
                <w:highlight w:val="none"/>
                <w:lang w:val="en-US" w:eastAsia="zh-CN"/>
              </w:rPr>
              <w:t>和</w:t>
            </w:r>
            <w:r>
              <w:rPr>
                <w:rFonts w:hint="eastAsia" w:ascii="仿宋" w:hAnsi="仿宋" w:eastAsia="仿宋" w:cs="仿宋"/>
                <w:bCs/>
                <w:sz w:val="24"/>
                <w:szCs w:val="24"/>
                <w:highlight w:val="none"/>
              </w:rPr>
              <w:t>学历证书</w:t>
            </w:r>
            <w:r>
              <w:rPr>
                <w:rFonts w:hint="eastAsia" w:ascii="仿宋" w:hAnsi="仿宋" w:eastAsia="仿宋" w:cs="仿宋"/>
                <w:bCs/>
                <w:color w:val="000000" w:themeColor="text1"/>
                <w:sz w:val="24"/>
                <w:szCs w:val="24"/>
                <w:highlight w:val="none"/>
                <w14:textFill>
                  <w14:solidFill>
                    <w14:schemeClr w14:val="tx1"/>
                  </w14:solidFill>
                </w14:textFill>
              </w:rPr>
              <w:t>和服务团队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人员</w:t>
            </w:r>
            <w:r>
              <w:rPr>
                <w:rFonts w:hint="eastAsia" w:ascii="仿宋" w:hAnsi="仿宋" w:eastAsia="仿宋" w:cs="仿宋"/>
                <w:bCs/>
                <w:color w:val="000000" w:themeColor="text1"/>
                <w:sz w:val="24"/>
                <w:szCs w:val="24"/>
                <w:highlight w:val="none"/>
                <w14:textFill>
                  <w14:solidFill>
                    <w14:schemeClr w14:val="tx1"/>
                  </w14:solidFill>
                </w14:textFill>
              </w:rPr>
              <w:t>表</w:t>
            </w:r>
            <w:r>
              <w:rPr>
                <w:rFonts w:hint="eastAsia" w:ascii="仿宋" w:hAnsi="仿宋" w:eastAsia="仿宋" w:cs="仿宋"/>
                <w:bCs/>
                <w:sz w:val="24"/>
                <w:szCs w:val="24"/>
                <w:highlight w:val="none"/>
              </w:rPr>
              <w:t>等复印件</w:t>
            </w:r>
            <w:r>
              <w:rPr>
                <w:rFonts w:hint="eastAsia" w:ascii="仿宋" w:hAnsi="仿宋" w:eastAsia="仿宋" w:cs="仿宋"/>
                <w:bCs/>
                <w:sz w:val="24"/>
                <w:szCs w:val="24"/>
                <w:highlight w:val="none"/>
                <w:lang w:val="en-US" w:eastAsia="zh-CN"/>
              </w:rPr>
              <w:t>并</w:t>
            </w:r>
            <w:r>
              <w:rPr>
                <w:rFonts w:hint="eastAsia" w:ascii="仿宋" w:hAnsi="仿宋" w:eastAsia="仿宋" w:cs="仿宋"/>
                <w:bCs/>
                <w:sz w:val="24"/>
                <w:szCs w:val="24"/>
                <w:highlight w:val="none"/>
              </w:rPr>
              <w:t>加盖</w:t>
            </w:r>
            <w:r>
              <w:rPr>
                <w:rFonts w:hint="eastAsia" w:ascii="仿宋" w:hAnsi="仿宋" w:eastAsia="仿宋" w:cs="仿宋"/>
                <w:bCs/>
                <w:sz w:val="24"/>
                <w:szCs w:val="24"/>
                <w:highlight w:val="none"/>
                <w:lang w:val="en-US" w:eastAsia="zh-CN"/>
              </w:rPr>
              <w:t>投标</w:t>
            </w:r>
            <w:r>
              <w:rPr>
                <w:rFonts w:hint="eastAsia" w:ascii="仿宋" w:hAnsi="仿宋" w:eastAsia="仿宋" w:cs="仿宋"/>
                <w:bCs/>
                <w:sz w:val="24"/>
                <w:szCs w:val="24"/>
                <w:highlight w:val="none"/>
              </w:rPr>
              <w:t>单位公章。</w:t>
            </w:r>
          </w:p>
          <w:p w14:paraId="74C049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项目组人员（最高得6分）</w:t>
            </w:r>
            <w:r>
              <w:rPr>
                <w:rFonts w:hint="eastAsia" w:ascii="仿宋" w:hAnsi="仿宋" w:eastAsia="仿宋" w:cs="仿宋"/>
                <w:color w:val="auto"/>
                <w:sz w:val="24"/>
                <w:szCs w:val="24"/>
                <w:highlight w:val="none"/>
                <w:lang w:eastAsia="zh-CN"/>
              </w:rPr>
              <w:t>：</w:t>
            </w:r>
          </w:p>
          <w:p w14:paraId="163C9E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团队人员</w:t>
            </w:r>
            <w:r>
              <w:rPr>
                <w:rFonts w:hint="eastAsia" w:ascii="仿宋" w:hAnsi="仿宋" w:eastAsia="仿宋" w:cs="仿宋"/>
                <w:b w:val="0"/>
                <w:bCs/>
                <w:color w:val="auto"/>
                <w:sz w:val="24"/>
                <w:szCs w:val="24"/>
                <w:highlight w:val="none"/>
                <w:lang w:val="en-US" w:eastAsia="zh-CN"/>
              </w:rPr>
              <w:t>具有2名</w:t>
            </w:r>
            <w:r>
              <w:rPr>
                <w:rFonts w:hint="eastAsia" w:ascii="仿宋" w:hAnsi="仿宋" w:eastAsia="仿宋" w:cs="仿宋"/>
                <w:b w:val="0"/>
                <w:bCs/>
                <w:color w:val="auto"/>
                <w:sz w:val="24"/>
                <w:szCs w:val="24"/>
                <w:highlight w:val="none"/>
              </w:rPr>
              <w:t>地震学</w:t>
            </w:r>
            <w:r>
              <w:rPr>
                <w:rFonts w:hint="eastAsia" w:ascii="仿宋" w:hAnsi="仿宋" w:eastAsia="仿宋" w:cs="仿宋"/>
                <w:b w:val="0"/>
                <w:bCs/>
                <w:color w:val="auto"/>
                <w:sz w:val="24"/>
                <w:szCs w:val="24"/>
                <w:highlight w:val="none"/>
                <w:lang w:val="en-US" w:eastAsia="zh-CN"/>
              </w:rPr>
              <w:t>高级专业技术职称人员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lang w:eastAsia="zh-CN"/>
              </w:rPr>
              <w:t>；</w:t>
            </w:r>
          </w:p>
          <w:p w14:paraId="16F98C5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团队人员</w:t>
            </w:r>
            <w:r>
              <w:rPr>
                <w:rFonts w:hint="eastAsia" w:ascii="仿宋" w:hAnsi="仿宋" w:eastAsia="仿宋" w:cs="仿宋"/>
                <w:b w:val="0"/>
                <w:bCs/>
                <w:color w:val="auto"/>
                <w:sz w:val="24"/>
                <w:szCs w:val="24"/>
                <w:highlight w:val="none"/>
                <w:lang w:val="en-US" w:eastAsia="zh-CN"/>
              </w:rPr>
              <w:t>具有2名</w:t>
            </w:r>
            <w:r>
              <w:rPr>
                <w:rFonts w:hint="eastAsia" w:ascii="仿宋" w:hAnsi="仿宋" w:eastAsia="仿宋" w:cs="仿宋"/>
                <w:b w:val="0"/>
                <w:bCs/>
                <w:color w:val="auto"/>
                <w:sz w:val="24"/>
                <w:szCs w:val="24"/>
                <w:highlight w:val="none"/>
              </w:rPr>
              <w:t>地震地质学</w:t>
            </w:r>
            <w:r>
              <w:rPr>
                <w:rFonts w:hint="eastAsia" w:ascii="仿宋" w:hAnsi="仿宋" w:eastAsia="仿宋" w:cs="仿宋"/>
                <w:b w:val="0"/>
                <w:bCs/>
                <w:color w:val="auto"/>
                <w:sz w:val="24"/>
                <w:szCs w:val="24"/>
                <w:highlight w:val="none"/>
                <w:lang w:val="en-US" w:eastAsia="zh-CN"/>
              </w:rPr>
              <w:t>高级专业技术职称人员得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lang w:eastAsia="zh-CN"/>
              </w:rPr>
              <w:t>；</w:t>
            </w:r>
          </w:p>
          <w:p w14:paraId="2FD6A0E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团队人员</w:t>
            </w:r>
            <w:r>
              <w:rPr>
                <w:rFonts w:hint="eastAsia" w:ascii="仿宋" w:hAnsi="仿宋" w:eastAsia="仿宋" w:cs="仿宋"/>
                <w:b w:val="0"/>
                <w:bCs/>
                <w:color w:val="auto"/>
                <w:sz w:val="24"/>
                <w:szCs w:val="24"/>
                <w:highlight w:val="none"/>
                <w:lang w:val="en-US" w:eastAsia="zh-CN"/>
              </w:rPr>
              <w:t>具有2名</w:t>
            </w:r>
            <w:r>
              <w:rPr>
                <w:rFonts w:hint="eastAsia" w:ascii="仿宋" w:hAnsi="仿宋" w:eastAsia="仿宋" w:cs="仿宋"/>
                <w:b w:val="0"/>
                <w:bCs/>
                <w:color w:val="auto"/>
                <w:sz w:val="24"/>
                <w:szCs w:val="24"/>
                <w:highlight w:val="none"/>
              </w:rPr>
              <w:t>地震工程学</w:t>
            </w:r>
            <w:r>
              <w:rPr>
                <w:rFonts w:hint="eastAsia" w:ascii="仿宋" w:hAnsi="仿宋" w:eastAsia="仿宋" w:cs="仿宋"/>
                <w:b w:val="0"/>
                <w:bCs/>
                <w:color w:val="auto"/>
                <w:sz w:val="24"/>
                <w:szCs w:val="24"/>
                <w:highlight w:val="none"/>
                <w:lang w:val="en-US" w:eastAsia="zh-CN"/>
              </w:rPr>
              <w:t>高级专业技术职称人员得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lang w:eastAsia="zh-CN"/>
              </w:rPr>
              <w:t>；</w:t>
            </w:r>
          </w:p>
          <w:p w14:paraId="571281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其余情况</w:t>
            </w:r>
            <w:r>
              <w:rPr>
                <w:rFonts w:hint="eastAsia" w:ascii="仿宋" w:hAnsi="仿宋" w:eastAsia="仿宋" w:cs="仿宋"/>
                <w:b w:val="0"/>
                <w:bCs/>
                <w:color w:val="auto"/>
                <w:sz w:val="24"/>
                <w:szCs w:val="24"/>
                <w:highlight w:val="none"/>
              </w:rPr>
              <w:t>提供不得分。</w:t>
            </w:r>
          </w:p>
          <w:p w14:paraId="1AE64C44">
            <w:pPr>
              <w:adjustRightInd/>
              <w:snapToGrid/>
              <w:spacing w:before="156"/>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lang w:val="en-US" w:eastAsia="zh-CN"/>
              </w:rPr>
              <w:t>投标文件中</w:t>
            </w:r>
            <w:r>
              <w:rPr>
                <w:rFonts w:hint="eastAsia" w:ascii="仿宋" w:hAnsi="仿宋" w:eastAsia="仿宋" w:cs="仿宋"/>
                <w:bCs/>
                <w:sz w:val="24"/>
                <w:szCs w:val="24"/>
                <w:highlight w:val="none"/>
              </w:rPr>
              <w:t>提供</w:t>
            </w:r>
            <w:r>
              <w:rPr>
                <w:rFonts w:hint="eastAsia" w:ascii="仿宋" w:hAnsi="仿宋" w:eastAsia="仿宋" w:cs="仿宋"/>
                <w:bCs/>
                <w:sz w:val="24"/>
                <w:szCs w:val="24"/>
                <w:highlight w:val="none"/>
                <w:lang w:eastAsia="zh-CN"/>
              </w:rPr>
              <w:t>投标单位缴纳的近</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个月社保证明、</w:t>
            </w:r>
            <w:r>
              <w:rPr>
                <w:rFonts w:hint="eastAsia" w:ascii="仿宋" w:hAnsi="仿宋" w:eastAsia="仿宋" w:cs="仿宋"/>
                <w:bCs/>
                <w:sz w:val="24"/>
                <w:szCs w:val="24"/>
                <w:highlight w:val="none"/>
              </w:rPr>
              <w:t>职称</w:t>
            </w:r>
            <w:r>
              <w:rPr>
                <w:rFonts w:hint="eastAsia" w:ascii="仿宋" w:hAnsi="仿宋" w:eastAsia="仿宋" w:cs="仿宋"/>
                <w:bCs/>
                <w:sz w:val="24"/>
                <w:szCs w:val="24"/>
                <w:highlight w:val="none"/>
                <w:lang w:val="en-US" w:eastAsia="zh-CN"/>
              </w:rPr>
              <w:t>和</w:t>
            </w:r>
            <w:r>
              <w:rPr>
                <w:rFonts w:hint="eastAsia" w:ascii="仿宋" w:hAnsi="仿宋" w:eastAsia="仿宋" w:cs="仿宋"/>
                <w:bCs/>
                <w:sz w:val="24"/>
                <w:szCs w:val="24"/>
                <w:highlight w:val="none"/>
              </w:rPr>
              <w:t>学历证书</w:t>
            </w:r>
            <w:r>
              <w:rPr>
                <w:rFonts w:hint="eastAsia" w:ascii="仿宋" w:hAnsi="仿宋" w:eastAsia="仿宋" w:cs="仿宋"/>
                <w:bCs/>
                <w:color w:val="000000" w:themeColor="text1"/>
                <w:sz w:val="24"/>
                <w:szCs w:val="24"/>
                <w:highlight w:val="none"/>
                <w14:textFill>
                  <w14:solidFill>
                    <w14:schemeClr w14:val="tx1"/>
                  </w14:solidFill>
                </w14:textFill>
              </w:rPr>
              <w:t>和服务团队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人员</w:t>
            </w:r>
            <w:r>
              <w:rPr>
                <w:rFonts w:hint="eastAsia" w:ascii="仿宋" w:hAnsi="仿宋" w:eastAsia="仿宋" w:cs="仿宋"/>
                <w:bCs/>
                <w:color w:val="000000" w:themeColor="text1"/>
                <w:sz w:val="24"/>
                <w:szCs w:val="24"/>
                <w:highlight w:val="none"/>
                <w14:textFill>
                  <w14:solidFill>
                    <w14:schemeClr w14:val="tx1"/>
                  </w14:solidFill>
                </w14:textFill>
              </w:rPr>
              <w:t>表</w:t>
            </w:r>
            <w:r>
              <w:rPr>
                <w:rFonts w:hint="eastAsia" w:ascii="仿宋" w:hAnsi="仿宋" w:eastAsia="仿宋" w:cs="仿宋"/>
                <w:bCs/>
                <w:sz w:val="24"/>
                <w:szCs w:val="24"/>
                <w:highlight w:val="none"/>
              </w:rPr>
              <w:t>等复印件</w:t>
            </w:r>
            <w:r>
              <w:rPr>
                <w:rFonts w:hint="eastAsia" w:ascii="仿宋" w:hAnsi="仿宋" w:eastAsia="仿宋" w:cs="仿宋"/>
                <w:bCs/>
                <w:sz w:val="24"/>
                <w:szCs w:val="24"/>
                <w:highlight w:val="none"/>
                <w:lang w:val="en-US" w:eastAsia="zh-CN"/>
              </w:rPr>
              <w:t>并</w:t>
            </w:r>
            <w:r>
              <w:rPr>
                <w:rFonts w:hint="eastAsia" w:ascii="仿宋" w:hAnsi="仿宋" w:eastAsia="仿宋" w:cs="仿宋"/>
                <w:bCs/>
                <w:sz w:val="24"/>
                <w:szCs w:val="24"/>
                <w:highlight w:val="none"/>
              </w:rPr>
              <w:t>加盖</w:t>
            </w:r>
            <w:r>
              <w:rPr>
                <w:rFonts w:hint="eastAsia" w:ascii="仿宋" w:hAnsi="仿宋" w:eastAsia="仿宋" w:cs="仿宋"/>
                <w:bCs/>
                <w:sz w:val="24"/>
                <w:szCs w:val="24"/>
                <w:highlight w:val="none"/>
                <w:lang w:val="en-US" w:eastAsia="zh-CN"/>
              </w:rPr>
              <w:t>投标</w:t>
            </w:r>
            <w:r>
              <w:rPr>
                <w:rFonts w:hint="eastAsia" w:ascii="仿宋" w:hAnsi="仿宋" w:eastAsia="仿宋" w:cs="仿宋"/>
                <w:bCs/>
                <w:sz w:val="24"/>
                <w:szCs w:val="24"/>
                <w:highlight w:val="none"/>
              </w:rPr>
              <w:t>单位公章。</w:t>
            </w:r>
          </w:p>
        </w:tc>
        <w:tc>
          <w:tcPr>
            <w:tcW w:w="1008" w:type="dxa"/>
            <w:vAlign w:val="center"/>
          </w:tcPr>
          <w:p w14:paraId="082D885F">
            <w:pPr>
              <w:spacing w:before="156"/>
              <w:ind w:left="420" w:left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1261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374" w:type="dxa"/>
            <w:gridSpan w:val="3"/>
            <w:vAlign w:val="top"/>
          </w:tcPr>
          <w:p w14:paraId="5304AE4C">
            <w:pPr>
              <w:spacing w:before="156"/>
              <w:ind w:left="420" w:leftChars="200"/>
              <w:jc w:val="both"/>
              <w:rPr>
                <w:rFonts w:hint="default" w:ascii="仿宋" w:hAnsi="仿宋" w:eastAsia="仿宋" w:cs="仿宋"/>
                <w:color w:val="auto"/>
                <w:sz w:val="24"/>
                <w:szCs w:val="24"/>
                <w:lang w:val="en-US" w:eastAsia="zh-CN"/>
              </w:rPr>
            </w:pPr>
            <w:r>
              <w:rPr>
                <w:rFonts w:hint="eastAsia" w:ascii="仿宋" w:hAnsi="仿宋" w:eastAsia="仿宋" w:cs="仿宋"/>
                <w:color w:val="auto"/>
                <w:spacing w:val="0"/>
                <w:sz w:val="24"/>
                <w:szCs w:val="24"/>
              </w:rPr>
              <w:t>注：</w:t>
            </w:r>
            <w:r>
              <w:rPr>
                <w:rFonts w:hint="eastAsia" w:ascii="仿宋" w:hAnsi="仿宋" w:eastAsia="仿宋" w:cs="仿宋"/>
                <w:color w:val="auto"/>
                <w:spacing w:val="0"/>
                <w:sz w:val="24"/>
                <w:szCs w:val="24"/>
                <w:u w:val="none"/>
              </w:rPr>
              <w:t>投标人必须在投标文件中提供证明文件。如未按此要求提供证明文件或</w:t>
            </w:r>
            <w:r>
              <w:rPr>
                <w:rFonts w:hint="eastAsia" w:ascii="仿宋" w:hAnsi="仿宋" w:eastAsia="仿宋" w:cs="仿宋"/>
                <w:color w:val="auto"/>
                <w:spacing w:val="0"/>
                <w:sz w:val="24"/>
                <w:szCs w:val="24"/>
              </w:rPr>
              <w:t>提供的证明文件无效的，不予认可</w:t>
            </w:r>
            <w:r>
              <w:rPr>
                <w:rFonts w:hint="eastAsia" w:ascii="仿宋" w:hAnsi="仿宋" w:eastAsia="仿宋" w:cs="仿宋"/>
                <w:color w:val="auto"/>
                <w:spacing w:val="0"/>
                <w:sz w:val="24"/>
                <w:szCs w:val="24"/>
                <w:lang w:val="en-US" w:eastAsia="zh-CN"/>
              </w:rPr>
              <w:t>。</w:t>
            </w:r>
          </w:p>
        </w:tc>
      </w:tr>
    </w:tbl>
    <w:p w14:paraId="2D55C6C9">
      <w:pPr>
        <w:spacing w:before="156" w:line="179" w:lineRule="auto"/>
        <w:ind w:left="420" w:leftChars="200"/>
        <w:rPr>
          <w:rFonts w:hint="eastAsia" w:ascii="仿宋" w:hAnsi="仿宋" w:eastAsia="仿宋" w:cs="仿宋"/>
          <w:color w:val="auto"/>
          <w:sz w:val="28"/>
          <w:szCs w:val="28"/>
        </w:rPr>
      </w:pPr>
      <w:r>
        <w:rPr>
          <w:rFonts w:hint="eastAsia" w:ascii="仿宋" w:hAnsi="仿宋" w:eastAsia="仿宋" w:cs="仿宋"/>
          <w:color w:val="auto"/>
          <w:spacing w:val="0"/>
          <w:sz w:val="28"/>
          <w:szCs w:val="28"/>
        </w:rPr>
        <w:t>（2）技术评审 （</w:t>
      </w:r>
      <w:r>
        <w:rPr>
          <w:rFonts w:hint="eastAsia" w:ascii="仿宋" w:hAnsi="仿宋" w:eastAsia="仿宋" w:cs="仿宋"/>
          <w:color w:val="auto"/>
          <w:spacing w:val="0"/>
          <w:sz w:val="28"/>
          <w:szCs w:val="28"/>
          <w:lang w:val="en-US" w:eastAsia="zh-CN"/>
        </w:rPr>
        <w:t>50</w:t>
      </w:r>
      <w:r>
        <w:rPr>
          <w:rFonts w:hint="eastAsia" w:ascii="仿宋" w:hAnsi="仿宋" w:eastAsia="仿宋" w:cs="仿宋"/>
          <w:color w:val="auto"/>
          <w:spacing w:val="0"/>
          <w:sz w:val="28"/>
          <w:szCs w:val="28"/>
        </w:rPr>
        <w:t>分）</w:t>
      </w:r>
    </w:p>
    <w:tbl>
      <w:tblPr>
        <w:tblStyle w:val="21"/>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7201"/>
        <w:gridCol w:w="1013"/>
      </w:tblGrid>
      <w:tr w14:paraId="66D6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011" w:type="dxa"/>
            <w:tcBorders>
              <w:tl2br w:val="nil"/>
              <w:tr2bl w:val="nil"/>
            </w:tcBorders>
            <w:vAlign w:val="top"/>
          </w:tcPr>
          <w:p w14:paraId="3BC39AD2">
            <w:pPr>
              <w:spacing w:before="156"/>
              <w:ind w:left="0" w:leftChars="0"/>
              <w:jc w:val="center"/>
              <w:rPr>
                <w:rFonts w:hint="eastAsia" w:ascii="仿宋" w:hAnsi="仿宋" w:eastAsia="仿宋" w:cs="仿宋"/>
                <w:color w:val="auto"/>
                <w:position w:val="0"/>
                <w:sz w:val="24"/>
                <w:szCs w:val="24"/>
              </w:rPr>
            </w:pPr>
            <w:r>
              <w:rPr>
                <w:rFonts w:hint="eastAsia" w:ascii="仿宋" w:hAnsi="仿宋" w:eastAsia="仿宋" w:cs="仿宋"/>
                <w:color w:val="auto"/>
                <w:spacing w:val="0"/>
                <w:sz w:val="24"/>
                <w:szCs w:val="24"/>
              </w:rPr>
              <w:t>序号</w:t>
            </w:r>
          </w:p>
        </w:tc>
        <w:tc>
          <w:tcPr>
            <w:tcW w:w="7201" w:type="dxa"/>
            <w:tcBorders>
              <w:tl2br w:val="nil"/>
              <w:tr2bl w:val="nil"/>
            </w:tcBorders>
            <w:vAlign w:val="top"/>
          </w:tcPr>
          <w:p w14:paraId="66085760">
            <w:pPr>
              <w:spacing w:before="156"/>
              <w:ind w:left="0" w:left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评分细则</w:t>
            </w:r>
          </w:p>
        </w:tc>
        <w:tc>
          <w:tcPr>
            <w:tcW w:w="1013" w:type="dxa"/>
            <w:tcBorders>
              <w:tl2br w:val="nil"/>
              <w:tr2bl w:val="nil"/>
            </w:tcBorders>
            <w:vAlign w:val="top"/>
          </w:tcPr>
          <w:p w14:paraId="59C94CA2">
            <w:pPr>
              <w:spacing w:before="156"/>
              <w:ind w:left="0" w:left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分值</w:t>
            </w:r>
          </w:p>
        </w:tc>
      </w:tr>
      <w:tr w14:paraId="0062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011" w:type="dxa"/>
            <w:tcBorders>
              <w:tl2br w:val="nil"/>
              <w:tr2bl w:val="nil"/>
            </w:tcBorders>
            <w:vAlign w:val="top"/>
          </w:tcPr>
          <w:p w14:paraId="287D29A1">
            <w:pPr>
              <w:spacing w:before="156" w:line="240" w:lineRule="auto"/>
              <w:ind w:left="420" w:leftChars="200"/>
              <w:rPr>
                <w:rFonts w:hint="eastAsia" w:ascii="仿宋" w:hAnsi="仿宋" w:eastAsia="仿宋" w:cs="仿宋"/>
                <w:color w:val="auto"/>
                <w:sz w:val="24"/>
                <w:szCs w:val="24"/>
              </w:rPr>
            </w:pPr>
          </w:p>
          <w:p w14:paraId="0A626F5E">
            <w:pPr>
              <w:spacing w:before="156"/>
              <w:ind w:left="420" w:leftChars="200"/>
              <w:rPr>
                <w:rFonts w:hint="eastAsia" w:ascii="仿宋" w:hAnsi="仿宋" w:eastAsia="仿宋" w:cs="仿宋"/>
                <w:color w:val="auto"/>
                <w:sz w:val="24"/>
                <w:szCs w:val="24"/>
              </w:rPr>
            </w:pPr>
            <w:r>
              <w:rPr>
                <w:rFonts w:hint="eastAsia" w:ascii="仿宋" w:hAnsi="仿宋" w:eastAsia="仿宋" w:cs="仿宋"/>
                <w:color w:val="auto"/>
                <w:position w:val="0"/>
                <w:sz w:val="24"/>
                <w:szCs w:val="24"/>
              </w:rPr>
              <w:t>1</w:t>
            </w:r>
          </w:p>
        </w:tc>
        <w:tc>
          <w:tcPr>
            <w:tcW w:w="7201" w:type="dxa"/>
            <w:tcBorders>
              <w:tl2br w:val="nil"/>
              <w:tr2bl w:val="nil"/>
            </w:tcBorders>
            <w:vAlign w:val="center"/>
          </w:tcPr>
          <w:p w14:paraId="162F17D1">
            <w:pPr>
              <w:spacing w:line="360" w:lineRule="exact"/>
              <w:rPr>
                <w:rFonts w:hint="eastAsia" w:ascii="仿宋" w:hAnsi="仿宋" w:eastAsia="仿宋" w:cs="仿宋"/>
                <w:b/>
                <w:bCs/>
                <w:sz w:val="24"/>
                <w:szCs w:val="24"/>
              </w:rPr>
            </w:pPr>
            <w:r>
              <w:rPr>
                <w:rFonts w:hint="eastAsia" w:ascii="仿宋" w:hAnsi="仿宋" w:eastAsia="仿宋" w:cs="仿宋"/>
                <w:b/>
                <w:bCs/>
                <w:color w:val="auto"/>
                <w:sz w:val="24"/>
                <w:szCs w:val="24"/>
                <w:highlight w:val="none"/>
              </w:rPr>
              <w:t>评标委员会</w:t>
            </w:r>
            <w:r>
              <w:rPr>
                <w:rFonts w:hint="eastAsia" w:ascii="仿宋" w:hAnsi="仿宋" w:eastAsia="仿宋" w:cs="仿宋"/>
                <w:b/>
                <w:bCs/>
                <w:color w:val="auto"/>
                <w:sz w:val="24"/>
                <w:szCs w:val="24"/>
                <w:highlight w:val="none"/>
                <w:lang w:val="en-US" w:eastAsia="zh-CN"/>
              </w:rPr>
              <w:t>对</w:t>
            </w:r>
            <w:r>
              <w:rPr>
                <w:rFonts w:hint="eastAsia" w:ascii="仿宋" w:hAnsi="仿宋" w:eastAsia="仿宋" w:cs="仿宋"/>
                <w:b/>
                <w:bCs/>
                <w:sz w:val="24"/>
                <w:szCs w:val="24"/>
                <w:lang w:val="en-US" w:eastAsia="zh-CN"/>
              </w:rPr>
              <w:t>投标人</w:t>
            </w:r>
            <w:r>
              <w:rPr>
                <w:rFonts w:hint="eastAsia" w:ascii="仿宋" w:hAnsi="仿宋" w:eastAsia="仿宋" w:cs="仿宋"/>
                <w:b/>
                <w:bCs/>
                <w:sz w:val="24"/>
                <w:szCs w:val="24"/>
              </w:rPr>
              <w:t>制定的</w:t>
            </w:r>
            <w:bookmarkStart w:id="0" w:name="_Hlk38528615"/>
            <w:r>
              <w:rPr>
                <w:rFonts w:hint="eastAsia" w:ascii="仿宋" w:hAnsi="仿宋" w:eastAsia="仿宋" w:cs="仿宋"/>
                <w:b/>
                <w:bCs/>
                <w:sz w:val="24"/>
                <w:szCs w:val="24"/>
              </w:rPr>
              <w:t>总体服务方案</w:t>
            </w:r>
            <w:bookmarkEnd w:id="0"/>
            <w:r>
              <w:rPr>
                <w:rFonts w:hint="eastAsia" w:ascii="仿宋" w:hAnsi="仿宋" w:eastAsia="仿宋" w:cs="仿宋"/>
                <w:b/>
                <w:bCs/>
                <w:sz w:val="24"/>
                <w:szCs w:val="24"/>
              </w:rPr>
              <w:t>进行评议（</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分）</w:t>
            </w:r>
          </w:p>
          <w:p w14:paraId="34F4A2B3">
            <w:pPr>
              <w:adjustRightInd/>
              <w:snapToGrid/>
              <w:spacing w:before="0" w:line="360" w:lineRule="exact"/>
              <w:ind w:left="0"/>
              <w:rPr>
                <w:rFonts w:hint="eastAsia" w:ascii="仿宋" w:hAnsi="仿宋" w:eastAsia="仿宋" w:cs="仿宋"/>
                <w:color w:val="auto"/>
                <w:sz w:val="24"/>
                <w:szCs w:val="24"/>
              </w:rPr>
            </w:pPr>
            <w:r>
              <w:rPr>
                <w:rFonts w:hint="eastAsia" w:ascii="仿宋" w:hAnsi="仿宋" w:eastAsia="仿宋" w:cs="仿宋"/>
                <w:bCs/>
                <w:i w:val="0"/>
                <w:iCs w:val="0"/>
                <w:caps w:val="0"/>
                <w:color w:val="auto"/>
                <w:spacing w:val="0"/>
                <w:sz w:val="24"/>
                <w:szCs w:val="24"/>
                <w:highlight w:val="none"/>
                <w:shd w:val="clear"/>
                <w:vertAlign w:val="baseline"/>
                <w:lang w:val="en-US" w:eastAsia="zh-CN"/>
              </w:rPr>
              <w:t>优秀得6-8</w:t>
            </w:r>
            <w:r>
              <w:rPr>
                <w:rFonts w:hint="eastAsia" w:ascii="仿宋" w:hAnsi="仿宋" w:eastAsia="仿宋" w:cs="仿宋"/>
                <w:bCs/>
                <w:i w:val="0"/>
                <w:iCs w:val="0"/>
                <w:caps w:val="0"/>
                <w:color w:val="auto"/>
                <w:spacing w:val="0"/>
                <w:sz w:val="24"/>
                <w:szCs w:val="24"/>
                <w:highlight w:val="none"/>
                <w:shd w:val="clear"/>
                <w:vertAlign w:val="baseline"/>
              </w:rPr>
              <w:t>分； </w:t>
            </w:r>
            <w:r>
              <w:rPr>
                <w:rFonts w:hint="eastAsia" w:ascii="仿宋" w:hAnsi="仿宋" w:eastAsia="仿宋" w:cs="仿宋"/>
                <w:bCs/>
                <w:i w:val="0"/>
                <w:iCs w:val="0"/>
                <w:caps w:val="0"/>
                <w:color w:val="auto"/>
                <w:spacing w:val="0"/>
                <w:sz w:val="24"/>
                <w:szCs w:val="24"/>
                <w:highlight w:val="none"/>
                <w:shd w:val="clear"/>
                <w:vertAlign w:val="baseline"/>
                <w:lang w:val="en-US" w:eastAsia="zh-CN"/>
              </w:rPr>
              <w:t>良好得3-6</w:t>
            </w:r>
            <w:r>
              <w:rPr>
                <w:rFonts w:hint="eastAsia" w:ascii="仿宋" w:hAnsi="仿宋" w:eastAsia="仿宋" w:cs="仿宋"/>
                <w:bCs/>
                <w:i w:val="0"/>
                <w:iCs w:val="0"/>
                <w:caps w:val="0"/>
                <w:color w:val="auto"/>
                <w:spacing w:val="0"/>
                <w:sz w:val="24"/>
                <w:szCs w:val="24"/>
                <w:highlight w:val="none"/>
                <w:shd w:val="clear"/>
                <w:vertAlign w:val="baseline"/>
              </w:rPr>
              <w:t>分；一般</w:t>
            </w:r>
            <w:r>
              <w:rPr>
                <w:rFonts w:hint="eastAsia" w:ascii="仿宋" w:hAnsi="仿宋" w:eastAsia="仿宋" w:cs="仿宋"/>
                <w:bCs/>
                <w:i w:val="0"/>
                <w:iCs w:val="0"/>
                <w:caps w:val="0"/>
                <w:color w:val="auto"/>
                <w:spacing w:val="0"/>
                <w:sz w:val="24"/>
                <w:szCs w:val="24"/>
                <w:highlight w:val="none"/>
                <w:shd w:val="clear"/>
                <w:vertAlign w:val="baseline"/>
                <w:lang w:val="en-US" w:eastAsia="zh-CN"/>
              </w:rPr>
              <w:t>得1-3</w:t>
            </w:r>
            <w:r>
              <w:rPr>
                <w:rFonts w:hint="eastAsia" w:ascii="仿宋" w:hAnsi="仿宋" w:eastAsia="仿宋" w:cs="仿宋"/>
                <w:bCs/>
                <w:i w:val="0"/>
                <w:iCs w:val="0"/>
                <w:caps w:val="0"/>
                <w:color w:val="auto"/>
                <w:spacing w:val="0"/>
                <w:sz w:val="24"/>
                <w:szCs w:val="24"/>
                <w:highlight w:val="none"/>
                <w:shd w:val="clear"/>
                <w:vertAlign w:val="baseline"/>
              </w:rPr>
              <w:t>分；没有描述的得0分。</w:t>
            </w:r>
          </w:p>
        </w:tc>
        <w:tc>
          <w:tcPr>
            <w:tcW w:w="1013" w:type="dxa"/>
            <w:tcBorders>
              <w:tl2br w:val="nil"/>
              <w:tr2bl w:val="nil"/>
            </w:tcBorders>
            <w:vAlign w:val="top"/>
          </w:tcPr>
          <w:p w14:paraId="4E8E1144">
            <w:pPr>
              <w:adjustRightInd/>
              <w:snapToGrid/>
              <w:spacing w:before="156" w:line="240" w:lineRule="auto"/>
              <w:ind w:left="0" w:leftChars="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0-8</w:t>
            </w:r>
          </w:p>
        </w:tc>
      </w:tr>
      <w:tr w14:paraId="3D30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1011" w:type="dxa"/>
            <w:tcBorders>
              <w:tl2br w:val="nil"/>
              <w:tr2bl w:val="nil"/>
            </w:tcBorders>
            <w:vAlign w:val="top"/>
          </w:tcPr>
          <w:p w14:paraId="3D9B10B8">
            <w:pPr>
              <w:spacing w:before="156" w:line="240" w:lineRule="auto"/>
              <w:ind w:left="420" w:leftChars="200"/>
              <w:rPr>
                <w:rFonts w:hint="eastAsia" w:ascii="仿宋" w:hAnsi="仿宋" w:eastAsia="仿宋" w:cs="仿宋"/>
                <w:color w:val="auto"/>
                <w:sz w:val="24"/>
                <w:szCs w:val="24"/>
              </w:rPr>
            </w:pPr>
          </w:p>
          <w:p w14:paraId="13C6CB99">
            <w:pPr>
              <w:spacing w:before="156"/>
              <w:ind w:left="420" w:leftChars="200"/>
              <w:rPr>
                <w:rFonts w:hint="eastAsia" w:ascii="仿宋" w:hAnsi="仿宋" w:eastAsia="仿宋" w:cs="仿宋"/>
                <w:color w:val="auto"/>
                <w:sz w:val="24"/>
                <w:szCs w:val="24"/>
                <w:lang w:eastAsia="zh-CN"/>
              </w:rPr>
            </w:pPr>
            <w:r>
              <w:rPr>
                <w:rFonts w:hint="eastAsia" w:ascii="仿宋" w:hAnsi="仿宋" w:eastAsia="仿宋" w:cs="仿宋"/>
                <w:color w:val="auto"/>
                <w:position w:val="0"/>
                <w:sz w:val="24"/>
                <w:szCs w:val="24"/>
                <w:highlight w:val="none"/>
                <w:lang w:val="en-US" w:eastAsia="zh-CN"/>
              </w:rPr>
              <w:t>2</w:t>
            </w:r>
          </w:p>
        </w:tc>
        <w:tc>
          <w:tcPr>
            <w:tcW w:w="7201" w:type="dxa"/>
            <w:tcBorders>
              <w:tl2br w:val="nil"/>
              <w:tr2bl w:val="nil"/>
            </w:tcBorders>
            <w:vAlign w:val="center"/>
          </w:tcPr>
          <w:p w14:paraId="20F250CE">
            <w:pPr>
              <w:spacing w:line="360" w:lineRule="exact"/>
              <w:rPr>
                <w:rFonts w:hint="eastAsia" w:ascii="仿宋" w:hAnsi="仿宋" w:eastAsia="仿宋" w:cs="仿宋"/>
                <w:b/>
                <w:bCs/>
                <w:sz w:val="24"/>
                <w:szCs w:val="24"/>
              </w:rPr>
            </w:pPr>
            <w:r>
              <w:rPr>
                <w:rFonts w:hint="eastAsia" w:ascii="仿宋" w:hAnsi="仿宋" w:eastAsia="仿宋" w:cs="仿宋"/>
                <w:b/>
                <w:bCs/>
                <w:color w:val="auto"/>
                <w:sz w:val="24"/>
                <w:szCs w:val="24"/>
                <w:highlight w:val="none"/>
              </w:rPr>
              <w:t>评标委员会</w:t>
            </w:r>
            <w:r>
              <w:rPr>
                <w:rFonts w:hint="eastAsia" w:ascii="仿宋" w:hAnsi="仿宋" w:eastAsia="仿宋" w:cs="仿宋"/>
                <w:b/>
                <w:bCs/>
                <w:color w:val="auto"/>
                <w:sz w:val="24"/>
                <w:szCs w:val="24"/>
                <w:highlight w:val="none"/>
                <w:lang w:val="en-US" w:eastAsia="zh-CN"/>
              </w:rPr>
              <w:t>对</w:t>
            </w:r>
            <w:r>
              <w:rPr>
                <w:rFonts w:hint="eastAsia" w:ascii="仿宋" w:hAnsi="仿宋" w:eastAsia="仿宋" w:cs="仿宋"/>
                <w:b/>
                <w:bCs/>
                <w:sz w:val="24"/>
                <w:szCs w:val="24"/>
                <w:lang w:val="en-US" w:eastAsia="zh-CN"/>
              </w:rPr>
              <w:t>投标人制定</w:t>
            </w:r>
            <w:r>
              <w:rPr>
                <w:rFonts w:hint="eastAsia" w:ascii="仿宋" w:hAnsi="仿宋" w:eastAsia="仿宋" w:cs="仿宋"/>
                <w:b/>
                <w:bCs/>
                <w:sz w:val="24"/>
                <w:szCs w:val="24"/>
              </w:rPr>
              <w:t>的</w:t>
            </w:r>
            <w:bookmarkStart w:id="1" w:name="_Hlk38528619"/>
            <w:r>
              <w:rPr>
                <w:rFonts w:hint="eastAsia" w:ascii="仿宋" w:hAnsi="仿宋" w:eastAsia="仿宋" w:cs="仿宋"/>
                <w:b/>
                <w:bCs/>
                <w:sz w:val="24"/>
                <w:szCs w:val="24"/>
              </w:rPr>
              <w:t>重点难点分析及对策措施</w:t>
            </w:r>
            <w:bookmarkEnd w:id="1"/>
            <w:r>
              <w:rPr>
                <w:rFonts w:hint="eastAsia" w:ascii="仿宋" w:hAnsi="仿宋" w:eastAsia="仿宋" w:cs="仿宋"/>
                <w:b/>
                <w:bCs/>
                <w:sz w:val="24"/>
                <w:szCs w:val="24"/>
              </w:rPr>
              <w:t>进行评议（</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分）</w:t>
            </w:r>
          </w:p>
          <w:p w14:paraId="4583FE71">
            <w:pPr>
              <w:spacing w:line="360" w:lineRule="exact"/>
              <w:rPr>
                <w:rFonts w:hint="eastAsia" w:ascii="仿宋" w:hAnsi="仿宋" w:eastAsia="仿宋" w:cs="仿宋"/>
                <w:bCs/>
                <w:i w:val="0"/>
                <w:iCs w:val="0"/>
                <w:caps w:val="0"/>
                <w:color w:val="auto"/>
                <w:spacing w:val="0"/>
                <w:sz w:val="24"/>
                <w:szCs w:val="24"/>
                <w:highlight w:val="none"/>
                <w:shd w:val="clear"/>
              </w:rPr>
            </w:pPr>
            <w:r>
              <w:rPr>
                <w:rFonts w:hint="eastAsia" w:ascii="仿宋" w:hAnsi="仿宋" w:eastAsia="仿宋" w:cs="仿宋"/>
                <w:bCs/>
                <w:i w:val="0"/>
                <w:iCs w:val="0"/>
                <w:caps w:val="0"/>
                <w:color w:val="auto"/>
                <w:spacing w:val="0"/>
                <w:sz w:val="24"/>
                <w:szCs w:val="24"/>
                <w:highlight w:val="none"/>
                <w:shd w:val="clear"/>
                <w:lang w:val="en-US" w:eastAsia="zh-CN"/>
              </w:rPr>
              <w:t>重难点分析</w:t>
            </w:r>
            <w:r>
              <w:rPr>
                <w:rFonts w:hint="eastAsia" w:ascii="仿宋" w:hAnsi="仿宋" w:eastAsia="仿宋" w:cs="仿宋"/>
                <w:bCs/>
                <w:i w:val="0"/>
                <w:iCs w:val="0"/>
                <w:caps w:val="0"/>
                <w:color w:val="auto"/>
                <w:spacing w:val="0"/>
                <w:sz w:val="24"/>
                <w:szCs w:val="24"/>
                <w:highlight w:val="none"/>
                <w:shd w:val="clear"/>
              </w:rPr>
              <w:t>：</w:t>
            </w:r>
            <w:r>
              <w:rPr>
                <w:rFonts w:hint="eastAsia" w:ascii="仿宋" w:hAnsi="仿宋" w:eastAsia="仿宋" w:cs="仿宋"/>
                <w:bCs/>
                <w:i w:val="0"/>
                <w:iCs w:val="0"/>
                <w:caps w:val="0"/>
                <w:color w:val="auto"/>
                <w:spacing w:val="0"/>
                <w:sz w:val="24"/>
                <w:szCs w:val="24"/>
                <w:highlight w:val="none"/>
                <w:shd w:val="clear"/>
                <w:lang w:val="en-US" w:eastAsia="zh-CN"/>
              </w:rPr>
              <w:t>优秀得3-4</w:t>
            </w:r>
            <w:r>
              <w:rPr>
                <w:rFonts w:hint="eastAsia" w:ascii="仿宋" w:hAnsi="仿宋" w:eastAsia="仿宋" w:cs="仿宋"/>
                <w:bCs/>
                <w:i w:val="0"/>
                <w:iCs w:val="0"/>
                <w:caps w:val="0"/>
                <w:color w:val="auto"/>
                <w:spacing w:val="0"/>
                <w:sz w:val="24"/>
                <w:szCs w:val="24"/>
                <w:highlight w:val="none"/>
                <w:shd w:val="clear"/>
              </w:rPr>
              <w:t xml:space="preserve">分； </w:t>
            </w:r>
            <w:r>
              <w:rPr>
                <w:rFonts w:hint="eastAsia" w:ascii="仿宋" w:hAnsi="仿宋" w:eastAsia="仿宋" w:cs="仿宋"/>
                <w:bCs/>
                <w:i w:val="0"/>
                <w:iCs w:val="0"/>
                <w:caps w:val="0"/>
                <w:color w:val="auto"/>
                <w:spacing w:val="0"/>
                <w:sz w:val="24"/>
                <w:szCs w:val="24"/>
                <w:highlight w:val="none"/>
                <w:shd w:val="clear"/>
                <w:lang w:val="en-US" w:eastAsia="zh-CN"/>
              </w:rPr>
              <w:t>良好得2-3</w:t>
            </w:r>
            <w:r>
              <w:rPr>
                <w:rFonts w:hint="eastAsia" w:ascii="仿宋" w:hAnsi="仿宋" w:eastAsia="仿宋" w:cs="仿宋"/>
                <w:bCs/>
                <w:i w:val="0"/>
                <w:iCs w:val="0"/>
                <w:caps w:val="0"/>
                <w:color w:val="auto"/>
                <w:spacing w:val="0"/>
                <w:sz w:val="24"/>
                <w:szCs w:val="24"/>
                <w:highlight w:val="none"/>
                <w:shd w:val="clear"/>
              </w:rPr>
              <w:t>分；一般</w:t>
            </w:r>
            <w:r>
              <w:rPr>
                <w:rFonts w:hint="eastAsia" w:ascii="仿宋" w:hAnsi="仿宋" w:eastAsia="仿宋" w:cs="仿宋"/>
                <w:bCs/>
                <w:i w:val="0"/>
                <w:iCs w:val="0"/>
                <w:caps w:val="0"/>
                <w:color w:val="auto"/>
                <w:spacing w:val="0"/>
                <w:sz w:val="24"/>
                <w:szCs w:val="24"/>
                <w:highlight w:val="none"/>
                <w:shd w:val="clear"/>
                <w:lang w:val="en-US" w:eastAsia="zh-CN"/>
              </w:rPr>
              <w:t>1-2</w:t>
            </w:r>
            <w:r>
              <w:rPr>
                <w:rFonts w:hint="eastAsia" w:ascii="仿宋" w:hAnsi="仿宋" w:eastAsia="仿宋" w:cs="仿宋"/>
                <w:bCs/>
                <w:i w:val="0"/>
                <w:iCs w:val="0"/>
                <w:caps w:val="0"/>
                <w:color w:val="auto"/>
                <w:spacing w:val="0"/>
                <w:sz w:val="24"/>
                <w:szCs w:val="24"/>
                <w:highlight w:val="none"/>
                <w:shd w:val="clear"/>
              </w:rPr>
              <w:t xml:space="preserve">分；没有描述的得0分。 </w:t>
            </w:r>
          </w:p>
          <w:p w14:paraId="531F19F9">
            <w:pPr>
              <w:adjustRightInd/>
              <w:snapToGrid/>
              <w:spacing w:before="0" w:line="360" w:lineRule="exact"/>
              <w:ind w:left="0"/>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措施</w:t>
            </w:r>
            <w:r>
              <w:rPr>
                <w:rFonts w:hint="eastAsia" w:ascii="仿宋" w:hAnsi="仿宋" w:eastAsia="仿宋" w:cs="仿宋"/>
                <w:bCs/>
                <w:i w:val="0"/>
                <w:iCs w:val="0"/>
                <w:caps w:val="0"/>
                <w:color w:val="auto"/>
                <w:spacing w:val="0"/>
                <w:sz w:val="24"/>
                <w:szCs w:val="24"/>
                <w:highlight w:val="none"/>
                <w:shd w:val="clear"/>
              </w:rPr>
              <w:t>方案：</w:t>
            </w:r>
            <w:r>
              <w:rPr>
                <w:rFonts w:hint="eastAsia" w:ascii="仿宋" w:hAnsi="仿宋" w:eastAsia="仿宋" w:cs="仿宋"/>
                <w:bCs/>
                <w:i w:val="0"/>
                <w:iCs w:val="0"/>
                <w:caps w:val="0"/>
                <w:color w:val="auto"/>
                <w:spacing w:val="0"/>
                <w:sz w:val="24"/>
                <w:szCs w:val="24"/>
                <w:highlight w:val="none"/>
                <w:shd w:val="clear"/>
                <w:lang w:val="en-US" w:eastAsia="zh-CN"/>
              </w:rPr>
              <w:t>优秀得3-4</w:t>
            </w:r>
            <w:r>
              <w:rPr>
                <w:rFonts w:hint="eastAsia" w:ascii="仿宋" w:hAnsi="仿宋" w:eastAsia="仿宋" w:cs="仿宋"/>
                <w:bCs/>
                <w:i w:val="0"/>
                <w:iCs w:val="0"/>
                <w:caps w:val="0"/>
                <w:color w:val="auto"/>
                <w:spacing w:val="0"/>
                <w:sz w:val="24"/>
                <w:szCs w:val="24"/>
                <w:highlight w:val="none"/>
                <w:shd w:val="clear"/>
              </w:rPr>
              <w:t xml:space="preserve">分； </w:t>
            </w:r>
            <w:r>
              <w:rPr>
                <w:rFonts w:hint="eastAsia" w:ascii="仿宋" w:hAnsi="仿宋" w:eastAsia="仿宋" w:cs="仿宋"/>
                <w:bCs/>
                <w:i w:val="0"/>
                <w:iCs w:val="0"/>
                <w:caps w:val="0"/>
                <w:color w:val="auto"/>
                <w:spacing w:val="0"/>
                <w:sz w:val="24"/>
                <w:szCs w:val="24"/>
                <w:highlight w:val="none"/>
                <w:shd w:val="clear"/>
                <w:lang w:val="en-US" w:eastAsia="zh-CN"/>
              </w:rPr>
              <w:t>良好得2-3</w:t>
            </w:r>
            <w:r>
              <w:rPr>
                <w:rFonts w:hint="eastAsia" w:ascii="仿宋" w:hAnsi="仿宋" w:eastAsia="仿宋" w:cs="仿宋"/>
                <w:bCs/>
                <w:i w:val="0"/>
                <w:iCs w:val="0"/>
                <w:caps w:val="0"/>
                <w:color w:val="auto"/>
                <w:spacing w:val="0"/>
                <w:sz w:val="24"/>
                <w:szCs w:val="24"/>
                <w:highlight w:val="none"/>
                <w:shd w:val="clear"/>
              </w:rPr>
              <w:t>分；一般</w:t>
            </w:r>
            <w:r>
              <w:rPr>
                <w:rFonts w:hint="eastAsia" w:ascii="仿宋" w:hAnsi="仿宋" w:eastAsia="仿宋" w:cs="仿宋"/>
                <w:bCs/>
                <w:i w:val="0"/>
                <w:iCs w:val="0"/>
                <w:caps w:val="0"/>
                <w:color w:val="auto"/>
                <w:spacing w:val="0"/>
                <w:sz w:val="24"/>
                <w:szCs w:val="24"/>
                <w:highlight w:val="none"/>
                <w:shd w:val="clear"/>
                <w:lang w:val="en-US" w:eastAsia="zh-CN"/>
              </w:rPr>
              <w:t>1-2</w:t>
            </w:r>
            <w:r>
              <w:rPr>
                <w:rFonts w:hint="eastAsia" w:ascii="仿宋" w:hAnsi="仿宋" w:eastAsia="仿宋" w:cs="仿宋"/>
                <w:bCs/>
                <w:i w:val="0"/>
                <w:iCs w:val="0"/>
                <w:caps w:val="0"/>
                <w:color w:val="auto"/>
                <w:spacing w:val="0"/>
                <w:sz w:val="24"/>
                <w:szCs w:val="24"/>
                <w:highlight w:val="none"/>
                <w:shd w:val="clear"/>
              </w:rPr>
              <w:t>分；没有描述的得0分</w:t>
            </w:r>
            <w:r>
              <w:rPr>
                <w:rFonts w:hint="eastAsia" w:ascii="仿宋" w:hAnsi="仿宋" w:eastAsia="仿宋" w:cs="仿宋"/>
                <w:bCs/>
                <w:i w:val="0"/>
                <w:iCs w:val="0"/>
                <w:caps w:val="0"/>
                <w:color w:val="auto"/>
                <w:spacing w:val="0"/>
                <w:sz w:val="24"/>
                <w:szCs w:val="24"/>
                <w:highlight w:val="none"/>
                <w:shd w:val="clear"/>
                <w:lang w:eastAsia="zh-CN"/>
              </w:rPr>
              <w:t>。</w:t>
            </w:r>
          </w:p>
        </w:tc>
        <w:tc>
          <w:tcPr>
            <w:tcW w:w="1013" w:type="dxa"/>
            <w:tcBorders>
              <w:tl2br w:val="nil"/>
              <w:tr2bl w:val="nil"/>
            </w:tcBorders>
            <w:vAlign w:val="top"/>
          </w:tcPr>
          <w:p w14:paraId="0E5FA7D4">
            <w:pPr>
              <w:adjustRightInd/>
              <w:snapToGrid/>
              <w:spacing w:before="156" w:line="240" w:lineRule="auto"/>
              <w:ind w:left="0" w:leftChars="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0-8</w:t>
            </w:r>
          </w:p>
        </w:tc>
      </w:tr>
      <w:tr w14:paraId="7050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011" w:type="dxa"/>
            <w:tcBorders>
              <w:tl2br w:val="nil"/>
              <w:tr2bl w:val="nil"/>
            </w:tcBorders>
            <w:vAlign w:val="top"/>
          </w:tcPr>
          <w:p w14:paraId="35903741">
            <w:pPr>
              <w:spacing w:before="0" w:line="360" w:lineRule="exact"/>
              <w:ind w:left="0" w:leftChars="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7201" w:type="dxa"/>
            <w:tcBorders>
              <w:tl2br w:val="nil"/>
              <w:tr2bl w:val="nil"/>
            </w:tcBorders>
            <w:vAlign w:val="center"/>
          </w:tcPr>
          <w:p w14:paraId="20811C6E">
            <w:pPr>
              <w:spacing w:line="36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评标委员会</w:t>
            </w:r>
            <w:r>
              <w:rPr>
                <w:rFonts w:hint="eastAsia" w:ascii="仿宋" w:hAnsi="仿宋" w:eastAsia="仿宋" w:cs="仿宋"/>
                <w:b/>
                <w:bCs w:val="0"/>
                <w:color w:val="auto"/>
                <w:sz w:val="24"/>
                <w:szCs w:val="24"/>
                <w:highlight w:val="none"/>
                <w:lang w:val="en-US" w:eastAsia="zh-CN"/>
              </w:rPr>
              <w:t>对投标人制定</w:t>
            </w:r>
            <w:r>
              <w:rPr>
                <w:rFonts w:hint="eastAsia" w:ascii="仿宋" w:hAnsi="仿宋" w:eastAsia="仿宋" w:cs="仿宋"/>
                <w:b/>
                <w:bCs w:val="0"/>
                <w:color w:val="auto"/>
                <w:sz w:val="24"/>
                <w:szCs w:val="24"/>
                <w:highlight w:val="none"/>
              </w:rPr>
              <w:t>的</w:t>
            </w:r>
            <w:bookmarkStart w:id="2" w:name="_Hlk38528624"/>
            <w:r>
              <w:rPr>
                <w:rFonts w:hint="eastAsia" w:ascii="仿宋" w:hAnsi="仿宋" w:eastAsia="仿宋" w:cs="仿宋"/>
                <w:b/>
                <w:bCs w:val="0"/>
                <w:color w:val="auto"/>
                <w:sz w:val="24"/>
                <w:szCs w:val="24"/>
                <w:highlight w:val="none"/>
              </w:rPr>
              <w:t>质量保证措施</w:t>
            </w:r>
            <w:bookmarkEnd w:id="2"/>
            <w:r>
              <w:rPr>
                <w:rFonts w:hint="eastAsia" w:ascii="仿宋" w:hAnsi="仿宋" w:eastAsia="仿宋" w:cs="仿宋"/>
                <w:b/>
                <w:bCs w:val="0"/>
                <w:color w:val="auto"/>
                <w:sz w:val="24"/>
                <w:szCs w:val="24"/>
                <w:highlight w:val="none"/>
              </w:rPr>
              <w:t>进行评议（</w:t>
            </w:r>
            <w:r>
              <w:rPr>
                <w:rFonts w:hint="eastAsia" w:ascii="仿宋" w:hAnsi="仿宋" w:eastAsia="仿宋" w:cs="仿宋"/>
                <w:b/>
                <w:bCs w:val="0"/>
                <w:color w:val="auto"/>
                <w:sz w:val="24"/>
                <w:szCs w:val="24"/>
                <w:highlight w:val="none"/>
                <w:lang w:val="en-US" w:eastAsia="zh-CN"/>
              </w:rPr>
              <w:t>8</w:t>
            </w:r>
            <w:r>
              <w:rPr>
                <w:rFonts w:hint="eastAsia" w:ascii="仿宋" w:hAnsi="仿宋" w:eastAsia="仿宋" w:cs="仿宋"/>
                <w:b/>
                <w:bCs w:val="0"/>
                <w:color w:val="auto"/>
                <w:sz w:val="24"/>
                <w:szCs w:val="24"/>
                <w:highlight w:val="none"/>
              </w:rPr>
              <w:t>分）</w:t>
            </w:r>
          </w:p>
          <w:p w14:paraId="64C75CE4">
            <w:pPr>
              <w:adjustRightInd/>
              <w:snapToGrid/>
              <w:spacing w:before="0" w:line="360" w:lineRule="exact"/>
              <w:ind w:left="0"/>
              <w:rPr>
                <w:rFonts w:hint="eastAsia" w:ascii="仿宋" w:hAnsi="仿宋" w:eastAsia="仿宋" w:cs="仿宋"/>
                <w:bCs/>
                <w:color w:val="auto"/>
                <w:sz w:val="24"/>
                <w:szCs w:val="24"/>
                <w:highlight w:val="none"/>
              </w:rPr>
            </w:pPr>
            <w:r>
              <w:rPr>
                <w:rFonts w:hint="eastAsia" w:ascii="仿宋" w:hAnsi="仿宋" w:eastAsia="仿宋" w:cs="仿宋"/>
                <w:bCs/>
                <w:i w:val="0"/>
                <w:iCs w:val="0"/>
                <w:caps w:val="0"/>
                <w:color w:val="auto"/>
                <w:spacing w:val="0"/>
                <w:sz w:val="24"/>
                <w:szCs w:val="24"/>
                <w:highlight w:val="none"/>
                <w:shd w:val="clear"/>
                <w:lang w:val="en-US" w:eastAsia="zh-CN"/>
              </w:rPr>
              <w:t>优秀得6-8</w:t>
            </w:r>
            <w:r>
              <w:rPr>
                <w:rFonts w:hint="eastAsia" w:ascii="仿宋" w:hAnsi="仿宋" w:eastAsia="仿宋" w:cs="仿宋"/>
                <w:bCs/>
                <w:i w:val="0"/>
                <w:iCs w:val="0"/>
                <w:caps w:val="0"/>
                <w:color w:val="auto"/>
                <w:spacing w:val="0"/>
                <w:sz w:val="24"/>
                <w:szCs w:val="24"/>
                <w:highlight w:val="none"/>
                <w:shd w:val="clear"/>
              </w:rPr>
              <w:t>分；</w:t>
            </w:r>
            <w:r>
              <w:rPr>
                <w:rFonts w:hint="eastAsia" w:ascii="仿宋" w:hAnsi="仿宋" w:eastAsia="仿宋" w:cs="仿宋"/>
                <w:bCs/>
                <w:i w:val="0"/>
                <w:iCs w:val="0"/>
                <w:caps w:val="0"/>
                <w:color w:val="auto"/>
                <w:spacing w:val="0"/>
                <w:sz w:val="24"/>
                <w:szCs w:val="24"/>
                <w:highlight w:val="none"/>
                <w:shd w:val="clear"/>
                <w:lang w:val="en-US" w:eastAsia="zh-CN"/>
              </w:rPr>
              <w:t>良好得</w:t>
            </w:r>
            <w:r>
              <w:rPr>
                <w:rFonts w:hint="eastAsia" w:ascii="仿宋" w:hAnsi="仿宋" w:eastAsia="仿宋" w:cs="仿宋"/>
                <w:bCs/>
                <w:i w:val="0"/>
                <w:iCs w:val="0"/>
                <w:caps w:val="0"/>
                <w:color w:val="auto"/>
                <w:spacing w:val="0"/>
                <w:sz w:val="24"/>
                <w:szCs w:val="24"/>
                <w:highlight w:val="none"/>
                <w:shd w:val="clear"/>
                <w:lang w:eastAsia="zh-CN"/>
              </w:rPr>
              <w:t>3</w:t>
            </w:r>
            <w:r>
              <w:rPr>
                <w:rFonts w:hint="eastAsia" w:ascii="仿宋" w:hAnsi="仿宋" w:eastAsia="仿宋" w:cs="仿宋"/>
                <w:bCs/>
                <w:i w:val="0"/>
                <w:iCs w:val="0"/>
                <w:caps w:val="0"/>
                <w:color w:val="auto"/>
                <w:spacing w:val="0"/>
                <w:sz w:val="24"/>
                <w:szCs w:val="24"/>
                <w:highlight w:val="none"/>
                <w:shd w:val="clear"/>
                <w:lang w:val="en-US" w:eastAsia="zh-CN"/>
              </w:rPr>
              <w:t>-6</w:t>
            </w:r>
            <w:r>
              <w:rPr>
                <w:rFonts w:hint="eastAsia" w:ascii="仿宋" w:hAnsi="仿宋" w:eastAsia="仿宋" w:cs="仿宋"/>
                <w:bCs/>
                <w:i w:val="0"/>
                <w:iCs w:val="0"/>
                <w:caps w:val="0"/>
                <w:color w:val="auto"/>
                <w:spacing w:val="0"/>
                <w:sz w:val="24"/>
                <w:szCs w:val="24"/>
                <w:highlight w:val="none"/>
                <w:shd w:val="clear"/>
              </w:rPr>
              <w:t>分；一般</w:t>
            </w:r>
            <w:r>
              <w:rPr>
                <w:rFonts w:hint="eastAsia" w:ascii="仿宋" w:hAnsi="仿宋" w:eastAsia="仿宋" w:cs="仿宋"/>
                <w:bCs/>
                <w:i w:val="0"/>
                <w:iCs w:val="0"/>
                <w:caps w:val="0"/>
                <w:color w:val="auto"/>
                <w:spacing w:val="0"/>
                <w:sz w:val="24"/>
                <w:szCs w:val="24"/>
                <w:highlight w:val="none"/>
                <w:shd w:val="clear"/>
                <w:lang w:val="en-US" w:eastAsia="zh-CN"/>
              </w:rPr>
              <w:t>1-3</w:t>
            </w:r>
            <w:r>
              <w:rPr>
                <w:rFonts w:hint="eastAsia" w:ascii="仿宋" w:hAnsi="仿宋" w:eastAsia="仿宋" w:cs="仿宋"/>
                <w:bCs/>
                <w:i w:val="0"/>
                <w:iCs w:val="0"/>
                <w:caps w:val="0"/>
                <w:color w:val="auto"/>
                <w:spacing w:val="0"/>
                <w:sz w:val="24"/>
                <w:szCs w:val="24"/>
                <w:highlight w:val="none"/>
                <w:shd w:val="clear"/>
              </w:rPr>
              <w:t>分；没有描述的得0分。</w:t>
            </w:r>
          </w:p>
        </w:tc>
        <w:tc>
          <w:tcPr>
            <w:tcW w:w="1013" w:type="dxa"/>
            <w:tcBorders>
              <w:tl2br w:val="nil"/>
              <w:tr2bl w:val="nil"/>
            </w:tcBorders>
            <w:vAlign w:val="top"/>
          </w:tcPr>
          <w:p w14:paraId="397C81FB">
            <w:pPr>
              <w:adjustRightInd/>
              <w:snapToGrid/>
              <w:spacing w:before="156" w:line="240" w:lineRule="auto"/>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0-8</w:t>
            </w:r>
          </w:p>
        </w:tc>
      </w:tr>
      <w:tr w14:paraId="093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011" w:type="dxa"/>
            <w:tcBorders>
              <w:tl2br w:val="nil"/>
              <w:tr2bl w:val="nil"/>
            </w:tcBorders>
            <w:vAlign w:val="top"/>
          </w:tcPr>
          <w:p w14:paraId="5F1FB1F1">
            <w:pPr>
              <w:spacing w:before="156"/>
              <w:ind w:left="420"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201" w:type="dxa"/>
            <w:tcBorders>
              <w:tl2br w:val="nil"/>
              <w:tr2bl w:val="nil"/>
            </w:tcBorders>
            <w:vAlign w:val="center"/>
          </w:tcPr>
          <w:p w14:paraId="17E3124E">
            <w:pPr>
              <w:spacing w:line="36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评标委员会</w:t>
            </w:r>
            <w:r>
              <w:rPr>
                <w:rFonts w:hint="eastAsia" w:ascii="仿宋" w:hAnsi="仿宋" w:eastAsia="仿宋" w:cs="仿宋"/>
                <w:b/>
                <w:bCs w:val="0"/>
                <w:color w:val="auto"/>
                <w:sz w:val="24"/>
                <w:szCs w:val="24"/>
                <w:highlight w:val="none"/>
                <w:lang w:val="en-US" w:eastAsia="zh-CN"/>
              </w:rPr>
              <w:t>对投标人拟投入的仪器设备情况进行评议（12分）</w:t>
            </w:r>
          </w:p>
          <w:p w14:paraId="52D72681">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评标委员会对</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拟投入的</w:t>
            </w:r>
            <w:r>
              <w:rPr>
                <w:rFonts w:hint="eastAsia" w:ascii="仿宋" w:hAnsi="仿宋" w:eastAsia="仿宋" w:cs="仿宋"/>
                <w:bCs/>
                <w:color w:val="auto"/>
                <w:sz w:val="24"/>
                <w:szCs w:val="24"/>
                <w:highlight w:val="none"/>
                <w:lang w:val="en-US" w:eastAsia="zh-CN"/>
              </w:rPr>
              <w:t>重点</w:t>
            </w:r>
            <w:r>
              <w:rPr>
                <w:rFonts w:hint="eastAsia" w:ascii="仿宋" w:hAnsi="仿宋" w:eastAsia="仿宋" w:cs="仿宋"/>
                <w:bCs/>
                <w:color w:val="auto"/>
                <w:sz w:val="24"/>
                <w:szCs w:val="24"/>
                <w:highlight w:val="none"/>
              </w:rPr>
              <w:t>仪器设备情况进行评议：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8分</w:t>
            </w:r>
            <w:r>
              <w:rPr>
                <w:rFonts w:hint="eastAsia" w:ascii="仿宋" w:hAnsi="仿宋" w:eastAsia="仿宋" w:cs="仿宋"/>
                <w:bCs/>
                <w:color w:val="auto"/>
                <w:sz w:val="24"/>
                <w:szCs w:val="24"/>
                <w:highlight w:val="none"/>
                <w:lang w:eastAsia="zh-CN"/>
              </w:rPr>
              <w:t>）</w:t>
            </w:r>
          </w:p>
          <w:p w14:paraId="3BA7CBA8">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能提供地震数据采集系统（0～100道（不包含））得1分，地震数据采集系统（100道（包含）～500道（不包含））得2分，地震采集系统（500道及以上）得3分；</w:t>
            </w:r>
          </w:p>
          <w:p w14:paraId="4AC1E84E">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能提供无人机小型以下得1分，无人机小型及以上得2分；</w:t>
            </w:r>
          </w:p>
          <w:p w14:paraId="0FBA7B72">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能提供可控震源车（1～3吨（不包含））得1分，可控震源车（3吨及以上）得2分；</w:t>
            </w:r>
          </w:p>
          <w:p w14:paraId="7924085A">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能提供航空影像采集及三维实时建模系统得1分。</w:t>
            </w:r>
          </w:p>
          <w:p w14:paraId="2C61286C">
            <w:pPr>
              <w:keepNext w:val="0"/>
              <w:keepLines w:val="0"/>
              <w:widowControl/>
              <w:suppressLineNumbers w:val="0"/>
              <w:wordWrap/>
              <w:spacing w:line="360" w:lineRule="exact"/>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拟投入的</w:t>
            </w:r>
            <w:r>
              <w:rPr>
                <w:rFonts w:hint="eastAsia" w:ascii="仿宋" w:hAnsi="仿宋" w:eastAsia="仿宋" w:cs="仿宋"/>
                <w:b w:val="0"/>
                <w:bCs/>
                <w:color w:val="auto"/>
                <w:sz w:val="24"/>
                <w:szCs w:val="24"/>
                <w:highlight w:val="none"/>
                <w:lang w:val="en-US" w:eastAsia="zh-CN"/>
              </w:rPr>
              <w:t>重点</w:t>
            </w:r>
            <w:r>
              <w:rPr>
                <w:rFonts w:hint="eastAsia" w:ascii="仿宋" w:hAnsi="仿宋" w:eastAsia="仿宋" w:cs="仿宋"/>
                <w:b w:val="0"/>
                <w:bCs/>
                <w:color w:val="auto"/>
                <w:sz w:val="24"/>
                <w:szCs w:val="24"/>
                <w:highlight w:val="none"/>
              </w:rPr>
              <w:t>仪器设备为投标人自有</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须提供购置发票及其他证明材料复印件</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实物照片等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并加盖公章</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拟投入的</w:t>
            </w:r>
            <w:r>
              <w:rPr>
                <w:rFonts w:hint="eastAsia" w:ascii="仿宋" w:hAnsi="仿宋" w:eastAsia="仿宋" w:cs="仿宋"/>
                <w:b w:val="0"/>
                <w:bCs/>
                <w:color w:val="auto"/>
                <w:sz w:val="24"/>
                <w:szCs w:val="24"/>
                <w:highlight w:val="none"/>
                <w:lang w:val="en-US" w:eastAsia="zh-CN"/>
              </w:rPr>
              <w:t>重点</w:t>
            </w:r>
            <w:r>
              <w:rPr>
                <w:rFonts w:hint="eastAsia" w:ascii="仿宋" w:hAnsi="仿宋" w:eastAsia="仿宋" w:cs="仿宋"/>
                <w:b w:val="0"/>
                <w:bCs/>
                <w:color w:val="auto"/>
                <w:sz w:val="24"/>
                <w:szCs w:val="24"/>
                <w:highlight w:val="none"/>
              </w:rPr>
              <w:t>仪器设备</w:t>
            </w:r>
            <w:r>
              <w:rPr>
                <w:rFonts w:hint="eastAsia" w:ascii="仿宋" w:hAnsi="仿宋" w:eastAsia="仿宋" w:cs="仿宋"/>
                <w:b w:val="0"/>
                <w:bCs/>
                <w:color w:val="auto"/>
                <w:sz w:val="24"/>
                <w:szCs w:val="24"/>
                <w:highlight w:val="none"/>
                <w:lang w:val="en-US" w:eastAsia="zh-CN"/>
              </w:rPr>
              <w:t>非自有的，</w:t>
            </w:r>
            <w:r>
              <w:rPr>
                <w:rFonts w:hint="eastAsia" w:ascii="仿宋" w:hAnsi="仿宋" w:eastAsia="仿宋" w:cs="仿宋"/>
                <w:b w:val="0"/>
                <w:bCs/>
                <w:color w:val="auto"/>
                <w:sz w:val="24"/>
                <w:szCs w:val="24"/>
                <w:highlight w:val="none"/>
              </w:rPr>
              <w:t>须提供租赁合同</w:t>
            </w:r>
            <w:r>
              <w:rPr>
                <w:rFonts w:hint="eastAsia" w:ascii="仿宋" w:hAnsi="仿宋" w:eastAsia="仿宋" w:cs="仿宋"/>
                <w:b w:val="0"/>
                <w:bCs/>
                <w:color w:val="auto"/>
                <w:sz w:val="24"/>
                <w:szCs w:val="24"/>
                <w:highlight w:val="none"/>
                <w:lang w:val="en-US" w:eastAsia="zh-CN"/>
              </w:rPr>
              <w:t>及出租方的该产品所有权证明材料</w:t>
            </w:r>
            <w:r>
              <w:rPr>
                <w:rFonts w:hint="eastAsia" w:ascii="仿宋" w:hAnsi="仿宋" w:eastAsia="仿宋" w:cs="仿宋"/>
                <w:b w:val="0"/>
                <w:bCs/>
                <w:color w:val="auto"/>
                <w:sz w:val="24"/>
                <w:szCs w:val="24"/>
                <w:highlight w:val="none"/>
              </w:rPr>
              <w:t>复印件并加盖公章。</w:t>
            </w:r>
          </w:p>
          <w:p w14:paraId="1E30C6A7">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评标委员会对</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Cs/>
                <w:color w:val="auto"/>
                <w:sz w:val="24"/>
                <w:szCs w:val="24"/>
                <w:highlight w:val="none"/>
              </w:rPr>
              <w:t>拟投入的一般仪器设备（不包括上述重点仪器设备，包括但不限于电脑、分析软件等）情况进行评议：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4分</w:t>
            </w:r>
            <w:r>
              <w:rPr>
                <w:rFonts w:hint="eastAsia" w:ascii="仿宋" w:hAnsi="仿宋" w:eastAsia="仿宋" w:cs="仿宋"/>
                <w:bCs/>
                <w:color w:val="auto"/>
                <w:sz w:val="24"/>
                <w:szCs w:val="24"/>
                <w:highlight w:val="none"/>
                <w:lang w:eastAsia="zh-CN"/>
              </w:rPr>
              <w:t>）</w:t>
            </w:r>
          </w:p>
          <w:p w14:paraId="6733E985">
            <w:pPr>
              <w:keepNext w:val="0"/>
              <w:keepLines w:val="0"/>
              <w:widowControl/>
              <w:suppressLineNumbers w:val="0"/>
              <w:wordWrap/>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i w:val="0"/>
                <w:iCs w:val="0"/>
                <w:caps w:val="0"/>
                <w:color w:val="auto"/>
                <w:spacing w:val="0"/>
                <w:sz w:val="24"/>
                <w:szCs w:val="24"/>
                <w:highlight w:val="none"/>
                <w:shd w:val="clear"/>
                <w:vertAlign w:val="baseline"/>
                <w:lang w:val="en-US" w:eastAsia="zh-CN"/>
              </w:rPr>
              <w:t>优秀得3-4</w:t>
            </w:r>
            <w:r>
              <w:rPr>
                <w:rFonts w:hint="eastAsia" w:ascii="仿宋" w:hAnsi="仿宋" w:eastAsia="仿宋" w:cs="仿宋"/>
                <w:bCs/>
                <w:i w:val="0"/>
                <w:iCs w:val="0"/>
                <w:caps w:val="0"/>
                <w:color w:val="auto"/>
                <w:spacing w:val="0"/>
                <w:sz w:val="24"/>
                <w:szCs w:val="24"/>
                <w:highlight w:val="none"/>
                <w:shd w:val="clear"/>
                <w:vertAlign w:val="baseline"/>
              </w:rPr>
              <w:t>分； </w:t>
            </w:r>
            <w:r>
              <w:rPr>
                <w:rFonts w:hint="eastAsia" w:ascii="仿宋" w:hAnsi="仿宋" w:eastAsia="仿宋" w:cs="仿宋"/>
                <w:bCs/>
                <w:i w:val="0"/>
                <w:iCs w:val="0"/>
                <w:caps w:val="0"/>
                <w:color w:val="auto"/>
                <w:spacing w:val="0"/>
                <w:sz w:val="24"/>
                <w:szCs w:val="24"/>
                <w:highlight w:val="none"/>
                <w:shd w:val="clear"/>
                <w:vertAlign w:val="baseline"/>
                <w:lang w:val="en-US" w:eastAsia="zh-CN"/>
              </w:rPr>
              <w:t>良好得2-3</w:t>
            </w:r>
            <w:r>
              <w:rPr>
                <w:rFonts w:hint="eastAsia" w:ascii="仿宋" w:hAnsi="仿宋" w:eastAsia="仿宋" w:cs="仿宋"/>
                <w:bCs/>
                <w:i w:val="0"/>
                <w:iCs w:val="0"/>
                <w:caps w:val="0"/>
                <w:color w:val="auto"/>
                <w:spacing w:val="0"/>
                <w:sz w:val="24"/>
                <w:szCs w:val="24"/>
                <w:highlight w:val="none"/>
                <w:shd w:val="clear"/>
                <w:vertAlign w:val="baseline"/>
              </w:rPr>
              <w:t>分；一般</w:t>
            </w:r>
            <w:r>
              <w:rPr>
                <w:rFonts w:hint="eastAsia" w:ascii="仿宋" w:hAnsi="仿宋" w:eastAsia="仿宋" w:cs="仿宋"/>
                <w:bCs/>
                <w:i w:val="0"/>
                <w:iCs w:val="0"/>
                <w:caps w:val="0"/>
                <w:color w:val="auto"/>
                <w:spacing w:val="0"/>
                <w:sz w:val="24"/>
                <w:szCs w:val="24"/>
                <w:highlight w:val="none"/>
                <w:shd w:val="clear"/>
                <w:vertAlign w:val="baseline"/>
                <w:lang w:val="en-US" w:eastAsia="zh-CN"/>
              </w:rPr>
              <w:t>得1-2</w:t>
            </w:r>
            <w:r>
              <w:rPr>
                <w:rFonts w:hint="eastAsia" w:ascii="仿宋" w:hAnsi="仿宋" w:eastAsia="仿宋" w:cs="仿宋"/>
                <w:bCs/>
                <w:i w:val="0"/>
                <w:iCs w:val="0"/>
                <w:caps w:val="0"/>
                <w:color w:val="auto"/>
                <w:spacing w:val="0"/>
                <w:sz w:val="24"/>
                <w:szCs w:val="24"/>
                <w:highlight w:val="none"/>
                <w:shd w:val="clear"/>
                <w:vertAlign w:val="baseline"/>
              </w:rPr>
              <w:t>分；</w:t>
            </w:r>
            <w:r>
              <w:rPr>
                <w:rFonts w:hint="eastAsia" w:ascii="仿宋" w:hAnsi="仿宋" w:eastAsia="仿宋" w:cs="仿宋"/>
                <w:bCs/>
                <w:color w:val="auto"/>
                <w:sz w:val="24"/>
                <w:szCs w:val="24"/>
                <w:highlight w:val="none"/>
              </w:rPr>
              <w:t>未提供不得分。</w:t>
            </w:r>
          </w:p>
          <w:p w14:paraId="5A72A9C6">
            <w:pPr>
              <w:adjustRightInd/>
              <w:snapToGrid/>
              <w:spacing w:before="0" w:line="360" w:lineRule="exact"/>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拟投入的一般仪器设备（不包括上述重点仪器设备，包括但不限于电脑、分析软件等）均需为投标人自有，投标文件中须提供购置发票及其他证明材料复印件</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实物照片等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并加盖公章。</w:t>
            </w:r>
          </w:p>
        </w:tc>
        <w:tc>
          <w:tcPr>
            <w:tcW w:w="1013" w:type="dxa"/>
            <w:tcBorders>
              <w:tl2br w:val="nil"/>
              <w:tr2bl w:val="nil"/>
            </w:tcBorders>
            <w:vAlign w:val="top"/>
          </w:tcPr>
          <w:p w14:paraId="48764CBF">
            <w:pPr>
              <w:adjustRightInd/>
              <w:snapToGrid/>
              <w:spacing w:before="156"/>
              <w:ind w:left="0"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0-12</w:t>
            </w:r>
          </w:p>
        </w:tc>
      </w:tr>
      <w:tr w14:paraId="51B7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011" w:type="dxa"/>
            <w:tcBorders>
              <w:tl2br w:val="nil"/>
              <w:tr2bl w:val="nil"/>
            </w:tcBorders>
            <w:vAlign w:val="top"/>
          </w:tcPr>
          <w:p w14:paraId="19F97375">
            <w:pPr>
              <w:spacing w:before="156"/>
              <w:ind w:left="420"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201" w:type="dxa"/>
            <w:tcBorders>
              <w:tl2br w:val="nil"/>
              <w:tr2bl w:val="nil"/>
            </w:tcBorders>
            <w:vAlign w:val="center"/>
          </w:tcPr>
          <w:p w14:paraId="77966FF3">
            <w:pPr>
              <w:spacing w:line="360" w:lineRule="exact"/>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rPr>
              <w:t>评标委员会</w:t>
            </w:r>
            <w:r>
              <w:rPr>
                <w:rFonts w:hint="eastAsia" w:ascii="仿宋" w:hAnsi="仿宋" w:eastAsia="仿宋" w:cs="仿宋"/>
                <w:b/>
                <w:bCs/>
                <w:color w:val="auto"/>
                <w:sz w:val="24"/>
                <w:szCs w:val="24"/>
                <w:highlight w:val="none"/>
                <w:lang w:val="en-US" w:eastAsia="zh-CN"/>
              </w:rPr>
              <w:t>对</w:t>
            </w:r>
            <w:r>
              <w:rPr>
                <w:rFonts w:hint="eastAsia" w:ascii="仿宋" w:hAnsi="仿宋" w:eastAsia="仿宋" w:cs="仿宋"/>
                <w:b/>
                <w:bCs/>
                <w:sz w:val="24"/>
                <w:szCs w:val="24"/>
                <w:highlight w:val="none"/>
                <w:lang w:val="en-US" w:eastAsia="zh-CN"/>
              </w:rPr>
              <w:t>投标人</w:t>
            </w:r>
            <w:r>
              <w:rPr>
                <w:rFonts w:hint="eastAsia" w:ascii="仿宋" w:hAnsi="仿宋" w:eastAsia="仿宋" w:cs="仿宋"/>
                <w:b/>
                <w:bCs/>
                <w:sz w:val="24"/>
                <w:szCs w:val="24"/>
                <w:highlight w:val="none"/>
              </w:rPr>
              <w:t>提供的项目团队人员的稳定性</w:t>
            </w:r>
            <w:r>
              <w:rPr>
                <w:rFonts w:hint="eastAsia" w:ascii="仿宋" w:hAnsi="仿宋" w:eastAsia="仿宋" w:cs="仿宋"/>
                <w:b/>
                <w:bCs/>
                <w:sz w:val="24"/>
                <w:szCs w:val="24"/>
                <w:highlight w:val="none"/>
                <w:lang w:val="en-US" w:eastAsia="zh-CN"/>
              </w:rPr>
              <w:t>承诺</w:t>
            </w:r>
            <w:r>
              <w:rPr>
                <w:rFonts w:hint="eastAsia" w:ascii="仿宋" w:hAnsi="仿宋" w:eastAsia="仿宋" w:cs="仿宋"/>
                <w:b/>
                <w:bCs/>
                <w:sz w:val="24"/>
                <w:szCs w:val="24"/>
                <w:highlight w:val="none"/>
              </w:rPr>
              <w:t>进行评议（</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分）</w:t>
            </w:r>
          </w:p>
          <w:p w14:paraId="6D1F7EA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提供承诺函得4分；</w:t>
            </w:r>
          </w:p>
          <w:p w14:paraId="42F1DA9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lang w:val="en-US" w:eastAsia="zh-CN"/>
              </w:rPr>
              <w:t>未</w:t>
            </w:r>
            <w:r>
              <w:rPr>
                <w:rFonts w:hint="eastAsia" w:ascii="仿宋" w:hAnsi="仿宋" w:eastAsia="仿宋" w:cs="仿宋"/>
                <w:bCs/>
                <w:color w:val="auto"/>
                <w:sz w:val="24"/>
                <w:szCs w:val="24"/>
                <w:highlight w:val="none"/>
              </w:rPr>
              <w:t>提供不得分</w:t>
            </w:r>
            <w:r>
              <w:rPr>
                <w:rFonts w:hint="eastAsia" w:ascii="仿宋" w:hAnsi="仿宋" w:eastAsia="仿宋" w:cs="仿宋"/>
                <w:color w:val="auto"/>
                <w:sz w:val="24"/>
                <w:szCs w:val="24"/>
                <w:highlight w:val="none"/>
              </w:rPr>
              <w:t>。</w:t>
            </w:r>
          </w:p>
          <w:p w14:paraId="6E77C9AD">
            <w:pPr>
              <w:adjustRightInd/>
              <w:snapToGrid/>
              <w:spacing w:before="156"/>
              <w:rPr>
                <w:rFonts w:hint="eastAsia" w:ascii="仿宋" w:hAnsi="仿宋" w:eastAsia="仿宋" w:cs="仿宋"/>
                <w:bCs/>
                <w:sz w:val="24"/>
                <w:szCs w:val="24"/>
              </w:rPr>
            </w:pPr>
            <w:bookmarkStart w:id="3" w:name="OLE_LINK8"/>
            <w:r>
              <w:rPr>
                <w:rFonts w:hint="eastAsia" w:ascii="仿宋" w:hAnsi="仿宋" w:eastAsia="仿宋" w:cs="仿宋"/>
                <w:bCs/>
                <w:color w:val="auto"/>
                <w:sz w:val="24"/>
                <w:szCs w:val="24"/>
                <w:highlight w:val="none"/>
                <w:lang w:val="en-US" w:eastAsia="zh-CN"/>
              </w:rPr>
              <w:t>承诺函格式</w:t>
            </w:r>
            <w:r>
              <w:rPr>
                <w:rFonts w:hint="eastAsia" w:ascii="仿宋" w:hAnsi="仿宋" w:eastAsia="仿宋" w:cs="仿宋"/>
                <w:bCs/>
                <w:sz w:val="24"/>
                <w:szCs w:val="24"/>
                <w:highlight w:val="none"/>
              </w:rPr>
              <w:t>自拟，须加盖</w:t>
            </w:r>
            <w:r>
              <w:rPr>
                <w:rFonts w:hint="eastAsia" w:ascii="仿宋" w:hAnsi="仿宋" w:eastAsia="仿宋" w:cs="仿宋"/>
                <w:bCs/>
                <w:sz w:val="24"/>
                <w:szCs w:val="24"/>
                <w:highlight w:val="none"/>
                <w:lang w:val="en-US" w:eastAsia="zh-CN"/>
              </w:rPr>
              <w:t>投标</w:t>
            </w:r>
            <w:r>
              <w:rPr>
                <w:rFonts w:hint="eastAsia" w:ascii="仿宋" w:hAnsi="仿宋" w:eastAsia="仿宋" w:cs="仿宋"/>
                <w:bCs/>
                <w:sz w:val="24"/>
                <w:szCs w:val="24"/>
                <w:highlight w:val="none"/>
              </w:rPr>
              <w:t>单位公章。</w:t>
            </w:r>
            <w:bookmarkEnd w:id="3"/>
          </w:p>
        </w:tc>
        <w:tc>
          <w:tcPr>
            <w:tcW w:w="1013" w:type="dxa"/>
            <w:tcBorders>
              <w:tl2br w:val="nil"/>
              <w:tr2bl w:val="nil"/>
            </w:tcBorders>
            <w:vAlign w:val="top"/>
          </w:tcPr>
          <w:p w14:paraId="2D12ECB8">
            <w:pPr>
              <w:adjustRightInd/>
              <w:snapToGrid/>
              <w:spacing w:before="156"/>
              <w:ind w:left="0"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w:t>
            </w:r>
          </w:p>
        </w:tc>
      </w:tr>
      <w:tr w14:paraId="09FB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011" w:type="dxa"/>
            <w:tcBorders>
              <w:tl2br w:val="nil"/>
              <w:tr2bl w:val="nil"/>
            </w:tcBorders>
            <w:vAlign w:val="top"/>
          </w:tcPr>
          <w:p w14:paraId="58B436F9">
            <w:pPr>
              <w:spacing w:before="156"/>
              <w:ind w:left="420"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201" w:type="dxa"/>
            <w:tcBorders>
              <w:tl2br w:val="nil"/>
              <w:tr2bl w:val="nil"/>
            </w:tcBorders>
            <w:vAlign w:val="center"/>
          </w:tcPr>
          <w:p w14:paraId="09E2B08C">
            <w:pPr>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评标委员会对投标人制定的</w:t>
            </w:r>
            <w:bookmarkStart w:id="4" w:name="_Hlk42956133"/>
            <w:r>
              <w:rPr>
                <w:rFonts w:hint="eastAsia" w:ascii="仿宋" w:hAnsi="仿宋" w:eastAsia="仿宋" w:cs="仿宋"/>
                <w:b/>
                <w:bCs/>
                <w:sz w:val="24"/>
                <w:szCs w:val="24"/>
                <w:lang w:val="en-US" w:eastAsia="zh-CN"/>
              </w:rPr>
              <w:t>涉密资料保存、使用方案</w:t>
            </w:r>
            <w:bookmarkEnd w:id="4"/>
            <w:r>
              <w:rPr>
                <w:rFonts w:hint="eastAsia" w:ascii="仿宋" w:hAnsi="仿宋" w:eastAsia="仿宋" w:cs="仿宋"/>
                <w:b/>
                <w:bCs/>
                <w:sz w:val="24"/>
                <w:szCs w:val="24"/>
                <w:lang w:val="en-US" w:eastAsia="zh-CN"/>
              </w:rPr>
              <w:t>进行评议（3分）</w:t>
            </w:r>
          </w:p>
          <w:p w14:paraId="4E0BFAAB">
            <w:pPr>
              <w:spacing w:line="360" w:lineRule="exact"/>
              <w:rPr>
                <w:rFonts w:hint="eastAsia" w:ascii="仿宋" w:hAnsi="仿宋" w:eastAsia="仿宋" w:cs="仿宋"/>
                <w:bCs/>
                <w:sz w:val="24"/>
                <w:szCs w:val="24"/>
              </w:rPr>
            </w:pPr>
            <w:r>
              <w:rPr>
                <w:rFonts w:hint="eastAsia" w:ascii="仿宋" w:hAnsi="仿宋" w:eastAsia="仿宋" w:cs="仿宋"/>
                <w:bCs/>
                <w:i w:val="0"/>
                <w:iCs w:val="0"/>
                <w:caps w:val="0"/>
                <w:color w:val="auto"/>
                <w:spacing w:val="0"/>
                <w:sz w:val="24"/>
                <w:szCs w:val="24"/>
                <w:highlight w:val="none"/>
                <w:shd w:val="clear"/>
                <w:vertAlign w:val="baseline"/>
                <w:lang w:val="en-US" w:eastAsia="zh-CN"/>
              </w:rPr>
              <w:t>优秀得3</w:t>
            </w:r>
            <w:r>
              <w:rPr>
                <w:rFonts w:hint="eastAsia" w:ascii="仿宋" w:hAnsi="仿宋" w:eastAsia="仿宋" w:cs="仿宋"/>
                <w:bCs/>
                <w:i w:val="0"/>
                <w:iCs w:val="0"/>
                <w:caps w:val="0"/>
                <w:color w:val="auto"/>
                <w:spacing w:val="0"/>
                <w:sz w:val="24"/>
                <w:szCs w:val="24"/>
                <w:highlight w:val="none"/>
                <w:shd w:val="clear"/>
                <w:vertAlign w:val="baseline"/>
              </w:rPr>
              <w:t>分；</w:t>
            </w:r>
            <w:r>
              <w:rPr>
                <w:rFonts w:hint="eastAsia" w:ascii="仿宋" w:hAnsi="仿宋" w:eastAsia="仿宋" w:cs="仿宋"/>
                <w:bCs/>
                <w:i w:val="0"/>
                <w:iCs w:val="0"/>
                <w:caps w:val="0"/>
                <w:color w:val="auto"/>
                <w:spacing w:val="0"/>
                <w:sz w:val="24"/>
                <w:szCs w:val="24"/>
                <w:highlight w:val="none"/>
                <w:shd w:val="clear"/>
                <w:vertAlign w:val="baseline"/>
                <w:lang w:val="en-US" w:eastAsia="zh-CN"/>
              </w:rPr>
              <w:t>良好得2</w:t>
            </w:r>
            <w:r>
              <w:rPr>
                <w:rFonts w:hint="eastAsia" w:ascii="仿宋" w:hAnsi="仿宋" w:eastAsia="仿宋" w:cs="仿宋"/>
                <w:bCs/>
                <w:i w:val="0"/>
                <w:iCs w:val="0"/>
                <w:caps w:val="0"/>
                <w:color w:val="auto"/>
                <w:spacing w:val="0"/>
                <w:sz w:val="24"/>
                <w:szCs w:val="24"/>
                <w:highlight w:val="none"/>
                <w:shd w:val="clear"/>
                <w:vertAlign w:val="baseline"/>
              </w:rPr>
              <w:t>分；一般</w:t>
            </w:r>
            <w:r>
              <w:rPr>
                <w:rFonts w:hint="eastAsia" w:ascii="仿宋" w:hAnsi="仿宋" w:eastAsia="仿宋" w:cs="仿宋"/>
                <w:bCs/>
                <w:i w:val="0"/>
                <w:iCs w:val="0"/>
                <w:caps w:val="0"/>
                <w:color w:val="auto"/>
                <w:spacing w:val="0"/>
                <w:sz w:val="24"/>
                <w:szCs w:val="24"/>
                <w:highlight w:val="none"/>
                <w:shd w:val="clear"/>
                <w:vertAlign w:val="baseline"/>
                <w:lang w:val="en-US" w:eastAsia="zh-CN"/>
              </w:rPr>
              <w:t>得</w:t>
            </w:r>
            <w:r>
              <w:rPr>
                <w:rFonts w:hint="eastAsia" w:ascii="仿宋" w:hAnsi="仿宋" w:eastAsia="仿宋" w:cs="仿宋"/>
                <w:bCs/>
                <w:i w:val="0"/>
                <w:iCs w:val="0"/>
                <w:caps w:val="0"/>
                <w:color w:val="auto"/>
                <w:spacing w:val="0"/>
                <w:sz w:val="24"/>
                <w:szCs w:val="24"/>
                <w:highlight w:val="none"/>
                <w:shd w:val="clear"/>
                <w:vertAlign w:val="baseline"/>
              </w:rPr>
              <w:t>1分；没有描述的得0分。</w:t>
            </w:r>
          </w:p>
        </w:tc>
        <w:tc>
          <w:tcPr>
            <w:tcW w:w="1013" w:type="dxa"/>
            <w:tcBorders>
              <w:tl2br w:val="nil"/>
              <w:tr2bl w:val="nil"/>
            </w:tcBorders>
            <w:vAlign w:val="top"/>
          </w:tcPr>
          <w:p w14:paraId="238C469E">
            <w:pPr>
              <w:adjustRightInd/>
              <w:snapToGrid/>
              <w:spacing w:before="156"/>
              <w:ind w:left="0"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w:t>
            </w:r>
          </w:p>
        </w:tc>
      </w:tr>
      <w:tr w14:paraId="481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011" w:type="dxa"/>
            <w:tcBorders>
              <w:tl2br w:val="nil"/>
              <w:tr2bl w:val="nil"/>
            </w:tcBorders>
            <w:vAlign w:val="top"/>
          </w:tcPr>
          <w:p w14:paraId="2D68178D">
            <w:pPr>
              <w:spacing w:before="156"/>
              <w:ind w:left="420" w:left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201" w:type="dxa"/>
            <w:tcBorders>
              <w:tl2br w:val="nil"/>
              <w:tr2bl w:val="nil"/>
            </w:tcBorders>
            <w:vAlign w:val="center"/>
          </w:tcPr>
          <w:p w14:paraId="15FD65F7">
            <w:pPr>
              <w:spacing w:line="360" w:lineRule="exact"/>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rPr>
              <w:t>评标委员会</w:t>
            </w:r>
            <w:r>
              <w:rPr>
                <w:rFonts w:hint="eastAsia" w:ascii="仿宋" w:hAnsi="仿宋" w:eastAsia="仿宋" w:cs="仿宋"/>
                <w:b/>
                <w:bCs/>
                <w:sz w:val="24"/>
                <w:szCs w:val="24"/>
                <w:highlight w:val="none"/>
                <w:lang w:val="en-US" w:eastAsia="zh-CN"/>
              </w:rPr>
              <w:t>对投标人</w:t>
            </w:r>
            <w:r>
              <w:rPr>
                <w:rFonts w:hint="eastAsia" w:ascii="仿宋" w:hAnsi="仿宋" w:eastAsia="仿宋" w:cs="仿宋"/>
                <w:b/>
                <w:bCs/>
                <w:sz w:val="24"/>
                <w:szCs w:val="24"/>
                <w:highlight w:val="none"/>
              </w:rPr>
              <w:t>制定的安全保障措施进行评议（</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分）</w:t>
            </w:r>
          </w:p>
          <w:p w14:paraId="2E92562B">
            <w:pPr>
              <w:adjustRightInd/>
              <w:snapToGrid/>
              <w:spacing w:before="156"/>
              <w:rPr>
                <w:rFonts w:hint="eastAsia" w:ascii="仿宋" w:hAnsi="仿宋" w:eastAsia="仿宋" w:cs="仿宋"/>
                <w:bCs/>
                <w:sz w:val="24"/>
                <w:szCs w:val="24"/>
              </w:rPr>
            </w:pPr>
            <w:r>
              <w:rPr>
                <w:rFonts w:hint="eastAsia" w:ascii="仿宋" w:hAnsi="仿宋" w:eastAsia="仿宋" w:cs="仿宋"/>
                <w:bCs/>
                <w:i w:val="0"/>
                <w:iCs w:val="0"/>
                <w:caps w:val="0"/>
                <w:color w:val="auto"/>
                <w:spacing w:val="0"/>
                <w:sz w:val="24"/>
                <w:szCs w:val="24"/>
                <w:highlight w:val="none"/>
                <w:shd w:val="clear"/>
                <w:vertAlign w:val="baseline"/>
                <w:lang w:val="en-US" w:eastAsia="zh-CN"/>
              </w:rPr>
              <w:t>优秀得3-4</w:t>
            </w:r>
            <w:r>
              <w:rPr>
                <w:rFonts w:hint="eastAsia" w:ascii="仿宋" w:hAnsi="仿宋" w:eastAsia="仿宋" w:cs="仿宋"/>
                <w:bCs/>
                <w:i w:val="0"/>
                <w:iCs w:val="0"/>
                <w:caps w:val="0"/>
                <w:color w:val="auto"/>
                <w:spacing w:val="0"/>
                <w:sz w:val="24"/>
                <w:szCs w:val="24"/>
                <w:highlight w:val="none"/>
                <w:shd w:val="clear"/>
                <w:vertAlign w:val="baseline"/>
              </w:rPr>
              <w:t>分；</w:t>
            </w:r>
            <w:r>
              <w:rPr>
                <w:rFonts w:hint="eastAsia" w:ascii="仿宋" w:hAnsi="仿宋" w:eastAsia="仿宋" w:cs="仿宋"/>
                <w:bCs/>
                <w:i w:val="0"/>
                <w:iCs w:val="0"/>
                <w:caps w:val="0"/>
                <w:color w:val="auto"/>
                <w:spacing w:val="0"/>
                <w:sz w:val="24"/>
                <w:szCs w:val="24"/>
                <w:highlight w:val="none"/>
                <w:shd w:val="clear"/>
                <w:vertAlign w:val="baseline"/>
                <w:lang w:val="en-US" w:eastAsia="zh-CN"/>
              </w:rPr>
              <w:t>良好得2-3</w:t>
            </w:r>
            <w:r>
              <w:rPr>
                <w:rFonts w:hint="eastAsia" w:ascii="仿宋" w:hAnsi="仿宋" w:eastAsia="仿宋" w:cs="仿宋"/>
                <w:bCs/>
                <w:i w:val="0"/>
                <w:iCs w:val="0"/>
                <w:caps w:val="0"/>
                <w:color w:val="auto"/>
                <w:spacing w:val="0"/>
                <w:sz w:val="24"/>
                <w:szCs w:val="24"/>
                <w:highlight w:val="none"/>
                <w:shd w:val="clear"/>
                <w:vertAlign w:val="baseline"/>
              </w:rPr>
              <w:t>分；一般</w:t>
            </w:r>
            <w:r>
              <w:rPr>
                <w:rFonts w:hint="eastAsia" w:ascii="仿宋" w:hAnsi="仿宋" w:eastAsia="仿宋" w:cs="仿宋"/>
                <w:bCs/>
                <w:i w:val="0"/>
                <w:iCs w:val="0"/>
                <w:caps w:val="0"/>
                <w:color w:val="auto"/>
                <w:spacing w:val="0"/>
                <w:sz w:val="24"/>
                <w:szCs w:val="24"/>
                <w:highlight w:val="none"/>
                <w:shd w:val="clear"/>
                <w:vertAlign w:val="baseline"/>
                <w:lang w:val="en-US" w:eastAsia="zh-CN"/>
              </w:rPr>
              <w:t>得</w:t>
            </w:r>
            <w:r>
              <w:rPr>
                <w:rFonts w:hint="eastAsia" w:ascii="仿宋" w:hAnsi="仿宋" w:eastAsia="仿宋" w:cs="仿宋"/>
                <w:bCs/>
                <w:i w:val="0"/>
                <w:iCs w:val="0"/>
                <w:caps w:val="0"/>
                <w:color w:val="auto"/>
                <w:spacing w:val="0"/>
                <w:sz w:val="24"/>
                <w:szCs w:val="24"/>
                <w:highlight w:val="none"/>
                <w:shd w:val="clear"/>
                <w:vertAlign w:val="baseline"/>
              </w:rPr>
              <w:t>1</w:t>
            </w:r>
            <w:r>
              <w:rPr>
                <w:rFonts w:hint="eastAsia" w:ascii="仿宋" w:hAnsi="仿宋" w:eastAsia="仿宋" w:cs="仿宋"/>
                <w:bCs/>
                <w:i w:val="0"/>
                <w:iCs w:val="0"/>
                <w:caps w:val="0"/>
                <w:color w:val="auto"/>
                <w:spacing w:val="0"/>
                <w:sz w:val="24"/>
                <w:szCs w:val="24"/>
                <w:highlight w:val="none"/>
                <w:shd w:val="clear"/>
                <w:vertAlign w:val="baseline"/>
                <w:lang w:val="en-US" w:eastAsia="zh-CN"/>
              </w:rPr>
              <w:t>-2</w:t>
            </w:r>
            <w:r>
              <w:rPr>
                <w:rFonts w:hint="eastAsia" w:ascii="仿宋" w:hAnsi="仿宋" w:eastAsia="仿宋" w:cs="仿宋"/>
                <w:bCs/>
                <w:i w:val="0"/>
                <w:iCs w:val="0"/>
                <w:caps w:val="0"/>
                <w:color w:val="auto"/>
                <w:spacing w:val="0"/>
                <w:sz w:val="24"/>
                <w:szCs w:val="24"/>
                <w:highlight w:val="none"/>
                <w:shd w:val="clear"/>
                <w:vertAlign w:val="baseline"/>
              </w:rPr>
              <w:t>分；没有描述的得0分。</w:t>
            </w:r>
          </w:p>
        </w:tc>
        <w:tc>
          <w:tcPr>
            <w:tcW w:w="1013" w:type="dxa"/>
            <w:tcBorders>
              <w:tl2br w:val="nil"/>
              <w:tr2bl w:val="nil"/>
            </w:tcBorders>
            <w:vAlign w:val="top"/>
          </w:tcPr>
          <w:p w14:paraId="7BFA75AA">
            <w:pPr>
              <w:adjustRightInd/>
              <w:snapToGrid/>
              <w:spacing w:before="156"/>
              <w:ind w:left="0"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w:t>
            </w:r>
          </w:p>
        </w:tc>
      </w:tr>
      <w:tr w14:paraId="342D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011" w:type="dxa"/>
            <w:tcBorders>
              <w:tl2br w:val="nil"/>
              <w:tr2bl w:val="nil"/>
            </w:tcBorders>
            <w:vAlign w:val="top"/>
          </w:tcPr>
          <w:p w14:paraId="303A1ED4">
            <w:pPr>
              <w:spacing w:before="0" w:line="360" w:lineRule="exact"/>
              <w:ind w:left="0" w:leftChars="0"/>
              <w:jc w:val="center"/>
              <w:rPr>
                <w:rFonts w:hint="eastAsia" w:ascii="仿宋" w:hAnsi="仿宋" w:eastAsia="仿宋" w:cs="仿宋"/>
                <w:bCs/>
                <w:color w:val="000000"/>
                <w:sz w:val="24"/>
                <w:szCs w:val="24"/>
                <w:highlight w:val="yellow"/>
                <w:lang w:val="en-US" w:eastAsia="zh-CN"/>
              </w:rPr>
            </w:pPr>
            <w:r>
              <w:rPr>
                <w:rFonts w:hint="eastAsia" w:ascii="仿宋" w:hAnsi="仿宋" w:eastAsia="仿宋" w:cs="仿宋"/>
                <w:bCs/>
                <w:color w:val="000000"/>
                <w:sz w:val="24"/>
                <w:szCs w:val="24"/>
                <w:highlight w:val="none"/>
                <w:lang w:val="en-US" w:eastAsia="zh-CN"/>
              </w:rPr>
              <w:t>8</w:t>
            </w:r>
          </w:p>
        </w:tc>
        <w:tc>
          <w:tcPr>
            <w:tcW w:w="7201" w:type="dxa"/>
            <w:tcBorders>
              <w:tl2br w:val="nil"/>
              <w:tr2bl w:val="nil"/>
            </w:tcBorders>
            <w:vAlign w:val="center"/>
          </w:tcPr>
          <w:p w14:paraId="24E07804">
            <w:pPr>
              <w:spacing w:line="36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评标委员会对</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制定的</w:t>
            </w:r>
            <w:bookmarkStart w:id="5" w:name="_Hlk49094602"/>
            <w:r>
              <w:rPr>
                <w:rFonts w:hint="eastAsia" w:ascii="仿宋" w:hAnsi="仿宋" w:eastAsia="仿宋" w:cs="仿宋"/>
                <w:b/>
                <w:bCs/>
                <w:color w:val="auto"/>
                <w:sz w:val="24"/>
                <w:szCs w:val="24"/>
                <w:highlight w:val="none"/>
              </w:rPr>
              <w:t>其他合理化建议</w:t>
            </w:r>
            <w:bookmarkEnd w:id="5"/>
            <w:r>
              <w:rPr>
                <w:rFonts w:hint="eastAsia" w:ascii="仿宋" w:hAnsi="仿宋" w:eastAsia="仿宋" w:cs="仿宋"/>
                <w:b/>
                <w:bCs/>
                <w:color w:val="auto"/>
                <w:sz w:val="24"/>
                <w:szCs w:val="24"/>
                <w:highlight w:val="none"/>
              </w:rPr>
              <w:t>进行评议：（</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p w14:paraId="3767F6FC">
            <w:pPr>
              <w:adjustRightInd/>
              <w:snapToGrid/>
              <w:spacing w:before="0" w:line="360" w:lineRule="exact"/>
              <w:rPr>
                <w:rFonts w:hint="eastAsia" w:ascii="仿宋" w:hAnsi="仿宋" w:eastAsia="仿宋" w:cs="仿宋"/>
                <w:bCs/>
                <w:color w:val="000000"/>
                <w:sz w:val="24"/>
                <w:szCs w:val="24"/>
                <w:highlight w:val="yellow"/>
              </w:rPr>
            </w:pPr>
            <w:r>
              <w:rPr>
                <w:rFonts w:hint="eastAsia" w:ascii="仿宋" w:hAnsi="仿宋" w:eastAsia="仿宋" w:cs="仿宋"/>
                <w:bCs/>
                <w:i w:val="0"/>
                <w:iCs w:val="0"/>
                <w:caps w:val="0"/>
                <w:color w:val="auto"/>
                <w:spacing w:val="0"/>
                <w:sz w:val="24"/>
                <w:szCs w:val="24"/>
                <w:highlight w:val="none"/>
                <w:shd w:val="clear"/>
                <w:vertAlign w:val="baseline"/>
                <w:lang w:val="en-US" w:eastAsia="zh-CN"/>
              </w:rPr>
              <w:t>优秀得3</w:t>
            </w:r>
            <w:r>
              <w:rPr>
                <w:rFonts w:hint="eastAsia" w:ascii="仿宋" w:hAnsi="仿宋" w:eastAsia="仿宋" w:cs="仿宋"/>
                <w:bCs/>
                <w:i w:val="0"/>
                <w:iCs w:val="0"/>
                <w:caps w:val="0"/>
                <w:color w:val="auto"/>
                <w:spacing w:val="0"/>
                <w:sz w:val="24"/>
                <w:szCs w:val="24"/>
                <w:highlight w:val="none"/>
                <w:shd w:val="clear"/>
                <w:vertAlign w:val="baseline"/>
              </w:rPr>
              <w:t>分；</w:t>
            </w:r>
            <w:r>
              <w:rPr>
                <w:rFonts w:hint="eastAsia" w:ascii="仿宋" w:hAnsi="仿宋" w:eastAsia="仿宋" w:cs="仿宋"/>
                <w:bCs/>
                <w:i w:val="0"/>
                <w:iCs w:val="0"/>
                <w:caps w:val="0"/>
                <w:color w:val="auto"/>
                <w:spacing w:val="0"/>
                <w:sz w:val="24"/>
                <w:szCs w:val="24"/>
                <w:highlight w:val="none"/>
                <w:shd w:val="clear"/>
                <w:vertAlign w:val="baseline"/>
                <w:lang w:val="en-US" w:eastAsia="zh-CN"/>
              </w:rPr>
              <w:t>良好得2</w:t>
            </w:r>
            <w:r>
              <w:rPr>
                <w:rFonts w:hint="eastAsia" w:ascii="仿宋" w:hAnsi="仿宋" w:eastAsia="仿宋" w:cs="仿宋"/>
                <w:bCs/>
                <w:i w:val="0"/>
                <w:iCs w:val="0"/>
                <w:caps w:val="0"/>
                <w:color w:val="auto"/>
                <w:spacing w:val="0"/>
                <w:sz w:val="24"/>
                <w:szCs w:val="24"/>
                <w:highlight w:val="none"/>
                <w:shd w:val="clear"/>
                <w:vertAlign w:val="baseline"/>
              </w:rPr>
              <w:t>分；一般</w:t>
            </w:r>
            <w:r>
              <w:rPr>
                <w:rFonts w:hint="eastAsia" w:ascii="仿宋" w:hAnsi="仿宋" w:eastAsia="仿宋" w:cs="仿宋"/>
                <w:bCs/>
                <w:i w:val="0"/>
                <w:iCs w:val="0"/>
                <w:caps w:val="0"/>
                <w:color w:val="auto"/>
                <w:spacing w:val="0"/>
                <w:sz w:val="24"/>
                <w:szCs w:val="24"/>
                <w:highlight w:val="none"/>
                <w:shd w:val="clear"/>
                <w:vertAlign w:val="baseline"/>
                <w:lang w:val="en-US" w:eastAsia="zh-CN"/>
              </w:rPr>
              <w:t>得1</w:t>
            </w:r>
            <w:r>
              <w:rPr>
                <w:rFonts w:hint="eastAsia" w:ascii="仿宋" w:hAnsi="仿宋" w:eastAsia="仿宋" w:cs="仿宋"/>
                <w:bCs/>
                <w:i w:val="0"/>
                <w:iCs w:val="0"/>
                <w:caps w:val="0"/>
                <w:color w:val="auto"/>
                <w:spacing w:val="0"/>
                <w:sz w:val="24"/>
                <w:szCs w:val="24"/>
                <w:highlight w:val="none"/>
                <w:shd w:val="clear"/>
                <w:vertAlign w:val="baseline"/>
              </w:rPr>
              <w:t>分；没有描述的得0分。</w:t>
            </w:r>
          </w:p>
        </w:tc>
        <w:tc>
          <w:tcPr>
            <w:tcW w:w="1013" w:type="dxa"/>
            <w:tcBorders>
              <w:tl2br w:val="nil"/>
              <w:tr2bl w:val="nil"/>
            </w:tcBorders>
            <w:vAlign w:val="top"/>
          </w:tcPr>
          <w:p w14:paraId="63A792DD">
            <w:pPr>
              <w:adjustRightInd/>
              <w:snapToGrid/>
              <w:spacing w:before="0" w:line="360" w:lineRule="exact"/>
              <w:ind w:left="0" w:leftChars="0"/>
              <w:jc w:val="center"/>
              <w:rPr>
                <w:rFonts w:hint="eastAsia" w:ascii="仿宋" w:hAnsi="仿宋" w:eastAsia="仿宋" w:cs="仿宋"/>
                <w:bCs/>
                <w:color w:val="000000"/>
                <w:sz w:val="24"/>
                <w:szCs w:val="24"/>
                <w:highlight w:val="yellow"/>
                <w:lang w:val="en-US" w:eastAsia="zh-CN"/>
              </w:rPr>
            </w:pPr>
            <w:r>
              <w:rPr>
                <w:rFonts w:hint="eastAsia" w:ascii="仿宋" w:hAnsi="仿宋" w:eastAsia="仿宋" w:cs="仿宋"/>
                <w:bCs/>
                <w:color w:val="000000"/>
                <w:sz w:val="24"/>
                <w:szCs w:val="24"/>
                <w:highlight w:val="none"/>
                <w:lang w:val="en-US" w:eastAsia="zh-CN"/>
              </w:rPr>
              <w:t>0-3</w:t>
            </w:r>
          </w:p>
        </w:tc>
      </w:tr>
    </w:tbl>
    <w:p w14:paraId="74050383">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（二）商务报价评审 （</w:t>
      </w:r>
      <w:r>
        <w:rPr>
          <w:rFonts w:hint="eastAsia" w:ascii="仿宋" w:hAnsi="仿宋" w:eastAsia="仿宋" w:cs="仿宋"/>
          <w:color w:val="auto"/>
          <w:spacing w:val="0"/>
          <w:sz w:val="28"/>
          <w:szCs w:val="28"/>
          <w:lang w:eastAsia="zh-CN"/>
        </w:rPr>
        <w:t>3</w:t>
      </w:r>
      <w:r>
        <w:rPr>
          <w:rFonts w:hint="eastAsia" w:ascii="仿宋" w:hAnsi="仿宋" w:eastAsia="仿宋" w:cs="仿宋"/>
          <w:color w:val="auto"/>
          <w:spacing w:val="0"/>
          <w:sz w:val="28"/>
          <w:szCs w:val="28"/>
        </w:rPr>
        <w:t>0分）</w:t>
      </w:r>
    </w:p>
    <w:p w14:paraId="4F1E60B0">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当有效投标人少于等于5家时，以所有有效投标人投标总价的算术平均值作为评标基准价；</w:t>
      </w:r>
    </w:p>
    <w:p w14:paraId="440987CA">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z w:val="28"/>
          <w:szCs w:val="28"/>
        </w:rPr>
        <w:t>当有效投标人多于5家时，对所有有效投标</w:t>
      </w:r>
      <w:r>
        <w:rPr>
          <w:rFonts w:hint="eastAsia" w:ascii="仿宋" w:hAnsi="仿宋" w:eastAsia="仿宋" w:cs="仿宋"/>
          <w:color w:val="auto"/>
          <w:spacing w:val="0"/>
          <w:sz w:val="28"/>
          <w:szCs w:val="28"/>
        </w:rPr>
        <w:t>人的评标</w:t>
      </w:r>
      <w:r>
        <w:rPr>
          <w:rFonts w:hint="eastAsia" w:ascii="仿宋" w:hAnsi="仿宋" w:eastAsia="仿宋" w:cs="仿宋"/>
          <w:color w:val="auto"/>
          <w:spacing w:val="0"/>
          <w:sz w:val="28"/>
          <w:szCs w:val="28"/>
          <w:lang w:eastAsia="zh-CN"/>
        </w:rPr>
        <w:t>价格</w:t>
      </w:r>
      <w:r>
        <w:rPr>
          <w:rFonts w:hint="eastAsia" w:ascii="仿宋" w:hAnsi="仿宋" w:eastAsia="仿宋" w:cs="仿宋"/>
          <w:color w:val="auto"/>
          <w:spacing w:val="0"/>
          <w:sz w:val="28"/>
          <w:szCs w:val="28"/>
        </w:rPr>
        <w:t>去除最高报价和最低报价后进行算术平均值作为评标基准价。</w:t>
      </w:r>
    </w:p>
    <w:p w14:paraId="2162EFCC">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投标人投标报价的评标价与评标基准价对比，计算出各投标评标价的评分值：</w:t>
      </w:r>
    </w:p>
    <w:p w14:paraId="36F117F8">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等于评标基准价的得满分30分。</w:t>
      </w:r>
    </w:p>
    <w:p w14:paraId="763C4009">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评标基准价以下的，评标价每低于评标基准价1个百分点扣0.5分。</w:t>
      </w:r>
    </w:p>
    <w:p w14:paraId="055E475E">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评标基准价以上的，评标价每高于评标基准价1个百分点扣1分。</w:t>
      </w:r>
    </w:p>
    <w:p w14:paraId="76EEB43E">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使用直线插入法计算报价得分，报价得分四舍五入保留小数2位，商务得分最低分为0分。</w:t>
      </w:r>
    </w:p>
    <w:p w14:paraId="77DB2E6E">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本项目设有投标总价的最高限价，投标总价超过本项目的最高限价的作无效标处理。</w:t>
      </w:r>
    </w:p>
    <w:p w14:paraId="06E245FD">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（三）经评审后的有效标少于三家时，本次招标失败。</w:t>
      </w:r>
    </w:p>
    <w:p w14:paraId="03CD5DEF">
      <w:pPr>
        <w:spacing w:before="156" w:line="360" w:lineRule="auto"/>
        <w:ind w:left="0" w:leftChars="0"/>
        <w:rPr>
          <w:rFonts w:hint="eastAsia" w:ascii="仿宋" w:hAnsi="仿宋" w:eastAsia="仿宋" w:cs="仿宋"/>
          <w:color w:val="auto"/>
          <w:sz w:val="28"/>
          <w:szCs w:val="28"/>
        </w:rPr>
      </w:pPr>
      <w:r>
        <w:rPr>
          <w:rFonts w:hint="eastAsia" w:ascii="仿宋" w:hAnsi="仿宋" w:eastAsia="仿宋" w:cs="仿宋"/>
          <w:color w:val="auto"/>
          <w:spacing w:val="0"/>
          <w:sz w:val="28"/>
          <w:szCs w:val="28"/>
        </w:rPr>
        <w:t>（</w:t>
      </w:r>
      <w:r>
        <w:rPr>
          <w:rFonts w:hint="eastAsia" w:ascii="仿宋" w:hAnsi="仿宋" w:eastAsia="仿宋" w:cs="仿宋"/>
          <w:color w:val="auto"/>
          <w:spacing w:val="0"/>
          <w:sz w:val="28"/>
          <w:szCs w:val="28"/>
          <w:lang w:val="en-US" w:eastAsia="zh-CN"/>
        </w:rPr>
        <w:t>四</w:t>
      </w:r>
      <w:r>
        <w:rPr>
          <w:rFonts w:hint="eastAsia" w:ascii="仿宋" w:hAnsi="仿宋" w:eastAsia="仿宋" w:cs="仿宋"/>
          <w:color w:val="auto"/>
          <w:spacing w:val="0"/>
          <w:sz w:val="28"/>
          <w:szCs w:val="28"/>
        </w:rPr>
        <w:t>）成交人的确认：发起人在成交候选人公示期满后，无异议的，确定成交人及发布成交结果公示。</w:t>
      </w:r>
    </w:p>
    <w:p w14:paraId="19E223C1">
      <w:pPr>
        <w:snapToGrid/>
        <w:spacing w:before="0" w:after="0" w:line="360" w:lineRule="auto"/>
        <w:ind w:firstLine="0" w:firstLineChars="0"/>
        <w:jc w:val="both"/>
        <w:rPr>
          <w:rFonts w:hint="eastAsia" w:ascii="仿宋" w:hAnsi="仿宋" w:eastAsia="仿宋" w:cs="仿宋"/>
          <w:color w:val="auto"/>
          <w:spacing w:val="0"/>
          <w:sz w:val="28"/>
          <w:szCs w:val="28"/>
          <w:highlight w:val="none"/>
          <w:shd w:val="clear"/>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0"/>
          <w:sz w:val="28"/>
          <w:szCs w:val="28"/>
          <w:highlight w:val="none"/>
          <w:shd w:val="clear"/>
        </w:rPr>
        <w:t>履约保证金：①履约保证金金额：合同总价的</w:t>
      </w:r>
      <w:r>
        <w:rPr>
          <w:rFonts w:hint="eastAsia" w:ascii="仿宋" w:hAnsi="仿宋" w:eastAsia="仿宋" w:cs="仿宋"/>
          <w:color w:val="auto"/>
          <w:spacing w:val="0"/>
          <w:sz w:val="28"/>
          <w:szCs w:val="28"/>
          <w:highlight w:val="none"/>
          <w:shd w:val="clear"/>
          <w:lang w:eastAsia="zh-CN"/>
        </w:rPr>
        <w:t>2</w:t>
      </w:r>
      <w:r>
        <w:rPr>
          <w:rFonts w:hint="eastAsia" w:ascii="仿宋" w:hAnsi="仿宋" w:eastAsia="仿宋" w:cs="仿宋"/>
          <w:color w:val="auto"/>
          <w:spacing w:val="0"/>
          <w:sz w:val="28"/>
          <w:szCs w:val="28"/>
          <w:highlight w:val="none"/>
          <w:shd w:val="clear"/>
        </w:rPr>
        <w:t>%；②履约保证金的形式为：银行保函或现金</w:t>
      </w:r>
      <w:r>
        <w:rPr>
          <w:rFonts w:hint="eastAsia" w:ascii="仿宋" w:hAnsi="仿宋" w:eastAsia="仿宋" w:cs="仿宋"/>
          <w:color w:val="auto"/>
          <w:sz w:val="28"/>
          <w:szCs w:val="28"/>
          <w:highlight w:val="none"/>
          <w:shd w:val="clear"/>
        </w:rPr>
        <w:t xml:space="preserve"> </w:t>
      </w:r>
      <w:r>
        <w:rPr>
          <w:rFonts w:hint="eastAsia" w:ascii="仿宋" w:hAnsi="仿宋" w:eastAsia="仿宋" w:cs="仿宋"/>
          <w:color w:val="auto"/>
          <w:spacing w:val="0"/>
          <w:sz w:val="28"/>
          <w:szCs w:val="28"/>
          <w:highlight w:val="none"/>
          <w:shd w:val="clear"/>
        </w:rPr>
        <w:t>支票或转账电汇；③履约保证金提交时间：在成交通知书发出之日起30个工作日内、合同签订之前</w:t>
      </w:r>
      <w:r>
        <w:rPr>
          <w:rFonts w:hint="eastAsia" w:ascii="仿宋" w:hAnsi="仿宋" w:eastAsia="仿宋" w:cs="仿宋"/>
          <w:color w:val="auto"/>
          <w:sz w:val="28"/>
          <w:szCs w:val="28"/>
          <w:highlight w:val="none"/>
          <w:shd w:val="clear"/>
        </w:rPr>
        <w:t>提交；④履约保证金</w:t>
      </w:r>
      <w:r>
        <w:rPr>
          <w:rFonts w:hint="eastAsia" w:ascii="仿宋" w:hAnsi="仿宋" w:eastAsia="仿宋" w:cs="仿宋"/>
          <w:color w:val="auto"/>
          <w:sz w:val="28"/>
          <w:szCs w:val="28"/>
          <w:highlight w:val="none"/>
          <w:shd w:val="clear"/>
          <w:lang w:eastAsia="zh-CN"/>
        </w:rPr>
        <w:t>的</w:t>
      </w:r>
      <w:r>
        <w:rPr>
          <w:rFonts w:hint="eastAsia" w:ascii="仿宋" w:hAnsi="仿宋" w:eastAsia="仿宋" w:cs="仿宋"/>
          <w:color w:val="auto"/>
          <w:sz w:val="28"/>
          <w:szCs w:val="28"/>
          <w:highlight w:val="none"/>
          <w:shd w:val="clear"/>
        </w:rPr>
        <w:t>退还：扣除需支付的违</w:t>
      </w:r>
      <w:r>
        <w:rPr>
          <w:rFonts w:hint="eastAsia" w:ascii="仿宋" w:hAnsi="仿宋" w:eastAsia="仿宋" w:cs="仿宋"/>
          <w:color w:val="auto"/>
          <w:spacing w:val="0"/>
          <w:sz w:val="28"/>
          <w:szCs w:val="28"/>
          <w:highlight w:val="none"/>
          <w:shd w:val="clear"/>
        </w:rPr>
        <w:t>约金后，余额退还（保函退还原件）</w:t>
      </w:r>
      <w:r>
        <w:rPr>
          <w:rFonts w:hint="eastAsia" w:ascii="仿宋" w:hAnsi="仿宋" w:eastAsia="仿宋" w:cs="仿宋"/>
          <w:color w:val="auto"/>
          <w:spacing w:val="0"/>
          <w:sz w:val="28"/>
          <w:szCs w:val="28"/>
          <w:highlight w:val="none"/>
          <w:shd w:val="clear"/>
          <w:lang w:eastAsia="zh-CN"/>
        </w:rPr>
        <w:t>。</w:t>
      </w:r>
    </w:p>
    <w:p w14:paraId="4E4F4D96">
      <w:pPr>
        <w:numPr>
          <w:ilvl w:val="0"/>
          <w:numId w:val="0"/>
        </w:numPr>
        <w:snapToGrid/>
        <w:spacing w:before="156" w:after="0" w:line="360" w:lineRule="auto"/>
        <w:jc w:val="left"/>
        <w:rPr>
          <w:rFonts w:hint="eastAsia"/>
          <w:b/>
          <w:color w:val="auto"/>
          <w:sz w:val="32"/>
          <w:highlight w:val="none"/>
          <w:shd w:val="clear" w:color="auto" w:fill="FFFFFF"/>
          <w:lang w:eastAsia="zh-CN"/>
        </w:rPr>
      </w:pPr>
      <w:r>
        <w:rPr>
          <w:rFonts w:hint="eastAsia"/>
          <w:b/>
          <w:color w:val="auto"/>
          <w:sz w:val="32"/>
          <w:highlight w:val="none"/>
          <w:shd w:val="clear" w:color="auto" w:fill="FFFFFF"/>
          <w:lang w:val="en-US" w:eastAsia="zh-CN"/>
        </w:rPr>
        <w:t>七</w:t>
      </w:r>
      <w:r>
        <w:rPr>
          <w:rFonts w:hint="eastAsia"/>
          <w:b/>
          <w:color w:val="auto"/>
          <w:sz w:val="32"/>
          <w:highlight w:val="none"/>
          <w:shd w:val="clear" w:color="auto" w:fill="FFFFFF"/>
          <w:lang w:eastAsia="zh-CN"/>
        </w:rPr>
        <w:t xml:space="preserve">、有关计划时间安排：    </w:t>
      </w:r>
      <w:r>
        <w:rPr>
          <w:rFonts w:hint="eastAsia" w:ascii="Arial" w:hAnsi="Arial" w:eastAsia="Arial" w:cs="Arial"/>
          <w:b/>
          <w:color w:val="auto"/>
          <w:sz w:val="32"/>
          <w:highlight w:val="none"/>
          <w:shd w:val="clear" w:color="auto" w:fill="FFFFFF"/>
          <w:lang w:eastAsia="zh-CN"/>
        </w:rPr>
        <w:t xml:space="preserve">  </w:t>
      </w:r>
    </w:p>
    <w:p w14:paraId="3D5ED47F">
      <w:pPr>
        <w:snapToGrid/>
        <w:spacing w:before="0" w:after="0" w:line="360" w:lineRule="auto"/>
        <w:ind w:firstLine="0"/>
        <w:jc w:val="both"/>
        <w:rPr>
          <w:rFonts w:hint="eastAsia" w:ascii="仿宋" w:hAnsi="仿宋" w:eastAsia="仿宋" w:cs="仿宋"/>
          <w:color w:val="auto"/>
          <w:sz w:val="28"/>
          <w:szCs w:val="28"/>
          <w:highlight w:val="none"/>
          <w:u w:val="single"/>
          <w:shd w:val="clear" w:color="auto" w:fill="FFFFFF"/>
          <w:lang w:val="en-US" w:eastAsia="zh-CN"/>
        </w:rPr>
      </w:pPr>
      <w:r>
        <w:rPr>
          <w:rFonts w:hint="eastAsia" w:ascii="仿宋" w:hAnsi="仿宋" w:eastAsia="仿宋" w:cs="仿宋"/>
          <w:color w:val="auto"/>
          <w:sz w:val="28"/>
          <w:szCs w:val="28"/>
          <w:highlight w:val="none"/>
          <w:shd w:val="clear" w:color="auto" w:fill="FFFFFF"/>
        </w:rPr>
        <w:t>1、响应文件</w:t>
      </w:r>
      <w:r>
        <w:rPr>
          <w:rFonts w:hint="eastAsia" w:ascii="仿宋" w:hAnsi="仿宋" w:eastAsia="仿宋" w:cs="仿宋"/>
          <w:color w:val="auto"/>
          <w:sz w:val="28"/>
          <w:szCs w:val="28"/>
          <w:highlight w:val="none"/>
          <w:shd w:val="clear" w:color="auto" w:fill="FFFFFF"/>
          <w:lang w:eastAsia="zh-CN"/>
        </w:rPr>
        <w:t>提交</w:t>
      </w:r>
      <w:r>
        <w:rPr>
          <w:rFonts w:hint="eastAsia" w:ascii="仿宋" w:hAnsi="仿宋" w:eastAsia="仿宋" w:cs="仿宋"/>
          <w:color w:val="auto"/>
          <w:sz w:val="28"/>
          <w:szCs w:val="28"/>
          <w:highlight w:val="none"/>
          <w:shd w:val="clear" w:color="auto" w:fill="FFFFFF"/>
        </w:rPr>
        <w:t>截止时间：</w:t>
      </w:r>
      <w:r>
        <w:rPr>
          <w:rFonts w:hint="eastAsia" w:ascii="仿宋" w:hAnsi="仿宋" w:eastAsia="仿宋" w:cs="仿宋"/>
          <w:color w:val="auto"/>
          <w:sz w:val="28"/>
          <w:szCs w:val="28"/>
          <w:highlight w:val="none"/>
          <w:u w:val="single"/>
          <w:shd w:val="clear" w:color="auto" w:fill="FFFFFF"/>
          <w:lang w:val="en-US" w:eastAsia="zh-CN"/>
        </w:rPr>
        <w:t>2</w:t>
      </w:r>
      <w:r>
        <w:rPr>
          <w:rFonts w:hint="eastAsia" w:ascii="仿宋" w:hAnsi="仿宋" w:eastAsia="仿宋" w:cs="仿宋"/>
          <w:i w:val="0"/>
          <w:iCs w:val="0"/>
          <w:caps w:val="0"/>
          <w:color w:val="auto"/>
          <w:spacing w:val="0"/>
          <w:sz w:val="28"/>
          <w:szCs w:val="28"/>
          <w:highlight w:val="none"/>
          <w:u w:val="single"/>
          <w:shd w:val="clear" w:color="auto" w:fill="FFFFFF"/>
        </w:rPr>
        <w:t>025年</w:t>
      </w:r>
      <w:r>
        <w:rPr>
          <w:rFonts w:hint="eastAsia" w:ascii="仿宋" w:hAnsi="仿宋" w:eastAsia="仿宋" w:cs="仿宋"/>
          <w:i w:val="0"/>
          <w:iCs w:val="0"/>
          <w:caps w:val="0"/>
          <w:color w:val="auto"/>
          <w:spacing w:val="0"/>
          <w:sz w:val="28"/>
          <w:szCs w:val="28"/>
          <w:highlight w:val="none"/>
          <w:u w:val="single"/>
          <w:shd w:val="clear" w:color="auto" w:fill="FFFFFF"/>
          <w:lang w:val="en-US" w:eastAsia="zh-CN"/>
        </w:rPr>
        <w:t>6</w:t>
      </w:r>
      <w:r>
        <w:rPr>
          <w:rFonts w:hint="eastAsia" w:ascii="仿宋" w:hAnsi="仿宋" w:eastAsia="仿宋" w:cs="仿宋"/>
          <w:i w:val="0"/>
          <w:iCs w:val="0"/>
          <w:caps w:val="0"/>
          <w:color w:val="auto"/>
          <w:spacing w:val="0"/>
          <w:sz w:val="28"/>
          <w:szCs w:val="28"/>
          <w:highlight w:val="none"/>
          <w:u w:val="single"/>
          <w:shd w:val="clear" w:color="auto" w:fill="FFFFFF"/>
        </w:rPr>
        <w:t>月</w:t>
      </w:r>
      <w:r>
        <w:rPr>
          <w:rFonts w:hint="eastAsia" w:ascii="仿宋" w:hAnsi="仿宋" w:eastAsia="仿宋" w:cs="仿宋"/>
          <w:i w:val="0"/>
          <w:iCs w:val="0"/>
          <w:caps w:val="0"/>
          <w:color w:val="auto"/>
          <w:spacing w:val="0"/>
          <w:sz w:val="28"/>
          <w:szCs w:val="28"/>
          <w:highlight w:val="none"/>
          <w:u w:val="single"/>
          <w:shd w:val="clear" w:color="auto" w:fill="FFFFFF"/>
          <w:lang w:eastAsia="zh-CN"/>
        </w:rPr>
        <w:t>4</w:t>
      </w:r>
      <w:r>
        <w:rPr>
          <w:rFonts w:hint="eastAsia" w:ascii="仿宋" w:hAnsi="仿宋" w:eastAsia="仿宋" w:cs="仿宋"/>
          <w:i w:val="0"/>
          <w:iCs w:val="0"/>
          <w:caps w:val="0"/>
          <w:color w:val="auto"/>
          <w:spacing w:val="0"/>
          <w:sz w:val="28"/>
          <w:szCs w:val="28"/>
          <w:highlight w:val="none"/>
          <w:u w:val="single"/>
          <w:shd w:val="clear" w:color="auto" w:fill="FFFFFF"/>
        </w:rPr>
        <w:t>日</w:t>
      </w:r>
      <w:r>
        <w:rPr>
          <w:rFonts w:hint="eastAsia" w:ascii="仿宋" w:hAnsi="仿宋" w:eastAsia="仿宋" w:cs="仿宋"/>
          <w:i w:val="0"/>
          <w:iCs w:val="0"/>
          <w:caps w:val="0"/>
          <w:color w:val="auto"/>
          <w:spacing w:val="0"/>
          <w:sz w:val="28"/>
          <w:szCs w:val="28"/>
          <w:highlight w:val="none"/>
          <w:u w:val="single"/>
          <w:shd w:val="clear" w:color="auto" w:fill="FFFFFF"/>
          <w:lang w:eastAsia="zh-CN"/>
        </w:rPr>
        <w:t>9</w:t>
      </w:r>
      <w:r>
        <w:rPr>
          <w:rFonts w:hint="eastAsia" w:ascii="仿宋" w:hAnsi="仿宋" w:eastAsia="仿宋" w:cs="仿宋"/>
          <w:i w:val="0"/>
          <w:iCs w:val="0"/>
          <w:caps w:val="0"/>
          <w:color w:val="auto"/>
          <w:spacing w:val="0"/>
          <w:sz w:val="28"/>
          <w:szCs w:val="28"/>
          <w:highlight w:val="none"/>
          <w:u w:val="single"/>
          <w:shd w:val="clear" w:color="auto" w:fill="FFFFFF"/>
        </w:rPr>
        <w:t>时00分00秒</w:t>
      </w:r>
      <w:r>
        <w:rPr>
          <w:rFonts w:hint="eastAsia" w:ascii="仿宋" w:hAnsi="仿宋" w:eastAsia="仿宋" w:cs="仿宋"/>
          <w:color w:val="auto"/>
          <w:sz w:val="28"/>
          <w:szCs w:val="28"/>
          <w:highlight w:val="none"/>
          <w:shd w:val="clear" w:color="auto" w:fill="FFFFFF"/>
        </w:rPr>
        <w:t>（如发生澄清修改的，澄清或者修改的内容可能影响交易文件编制的，发起人应当在响应文件截止时间至少3日前，若此时距截止时间已不足3日</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应延长截止时间）</w:t>
      </w:r>
      <w:r>
        <w:rPr>
          <w:rFonts w:hint="eastAsia" w:ascii="仿宋" w:hAnsi="仿宋" w:eastAsia="仿宋" w:cs="仿宋"/>
          <w:color w:val="auto"/>
          <w:sz w:val="28"/>
          <w:szCs w:val="28"/>
          <w:highlight w:val="none"/>
          <w:u w:val="none"/>
          <w:shd w:val="clear" w:color="auto" w:fill="FFFFFF"/>
          <w:lang w:eastAsia="zh-CN"/>
        </w:rPr>
        <w:t>。</w:t>
      </w:r>
    </w:p>
    <w:p w14:paraId="12DA1F4E">
      <w:pPr>
        <w:spacing w:before="156" w:line="36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2、响应文件</w:t>
      </w:r>
      <w:r>
        <w:rPr>
          <w:rFonts w:hint="eastAsia" w:ascii="仿宋" w:hAnsi="仿宋" w:eastAsia="仿宋" w:cs="仿宋"/>
          <w:color w:val="auto"/>
          <w:sz w:val="28"/>
          <w:szCs w:val="28"/>
          <w:highlight w:val="none"/>
          <w:shd w:val="clear" w:color="auto" w:fill="FFFFFF"/>
          <w:lang w:eastAsia="zh-CN"/>
        </w:rPr>
        <w:t>提交</w:t>
      </w:r>
      <w:r>
        <w:rPr>
          <w:rFonts w:hint="eastAsia" w:ascii="仿宋" w:hAnsi="仿宋" w:eastAsia="仿宋" w:cs="仿宋"/>
          <w:color w:val="auto"/>
          <w:sz w:val="28"/>
          <w:szCs w:val="28"/>
          <w:highlight w:val="none"/>
          <w:shd w:val="clear" w:color="auto" w:fill="FFFFFF"/>
        </w:rPr>
        <w:t>方式：</w:t>
      </w:r>
      <w:bookmarkStart w:id="6" w:name="OLE_LINK17"/>
      <w:r>
        <w:rPr>
          <w:rFonts w:hint="eastAsia" w:ascii="仿宋" w:hAnsi="仿宋" w:eastAsia="仿宋" w:cs="仿宋"/>
          <w:i w:val="0"/>
          <w:iCs w:val="0"/>
          <w:caps w:val="0"/>
          <w:color w:val="auto"/>
          <w:spacing w:val="0"/>
          <w:sz w:val="28"/>
          <w:szCs w:val="28"/>
          <w:highlight w:val="none"/>
          <w:shd w:val="clear" w:color="auto" w:fill="FFFFFF"/>
          <w:lang w:eastAsia="zh-CN" w:bidi="ar"/>
        </w:rPr>
        <w:t>通过“易滨通”小额项目综合管理平台网上提交</w:t>
      </w:r>
      <w:r>
        <w:rPr>
          <w:rFonts w:hint="eastAsia" w:ascii="仿宋" w:hAnsi="仿宋" w:eastAsia="仿宋" w:cs="仿宋"/>
          <w:b/>
          <w:bCs/>
          <w:i w:val="0"/>
          <w:iCs w:val="0"/>
          <w:caps w:val="0"/>
          <w:color w:val="auto"/>
          <w:spacing w:val="0"/>
          <w:sz w:val="28"/>
          <w:szCs w:val="28"/>
          <w:highlight w:val="none"/>
          <w:shd w:val="clear" w:color="auto" w:fill="FFFFFF"/>
          <w:lang w:eastAsia="zh-CN" w:bidi="ar"/>
        </w:rPr>
        <w:t>并同时提供线下纸质文件（一正二副，装订成册），线下密封在密封袋处盖公章或法定代表人或授权委托人签字或盖章，最终以线下提交的投标文件为准</w:t>
      </w:r>
      <w:bookmarkEnd w:id="6"/>
      <w:r>
        <w:rPr>
          <w:rFonts w:hint="eastAsia" w:ascii="仿宋" w:hAnsi="仿宋" w:eastAsia="仿宋" w:cs="仿宋"/>
          <w:b/>
          <w:bCs/>
          <w:color w:val="auto"/>
          <w:sz w:val="28"/>
          <w:szCs w:val="28"/>
          <w:highlight w:val="none"/>
          <w:shd w:val="clear" w:color="auto" w:fill="FFFFFF"/>
          <w:lang w:eastAsia="zh-CN" w:bidi="ar"/>
        </w:rPr>
        <w:t>。</w:t>
      </w:r>
      <w:r>
        <w:rPr>
          <w:rFonts w:hint="eastAsia" w:ascii="仿宋" w:hAnsi="仿宋" w:eastAsia="仿宋" w:cs="仿宋"/>
          <w:b/>
          <w:bCs/>
          <w:color w:val="auto"/>
          <w:sz w:val="28"/>
          <w:szCs w:val="28"/>
          <w:highlight w:val="none"/>
          <w:shd w:val="clear" w:color="auto" w:fill="FFFFFF"/>
        </w:rPr>
        <w:t xml:space="preserve">    </w:t>
      </w:r>
    </w:p>
    <w:p w14:paraId="542AE815">
      <w:pPr>
        <w:numPr>
          <w:ilvl w:val="-1"/>
          <w:numId w:val="0"/>
        </w:numPr>
        <w:snapToGrid/>
        <w:spacing w:line="360" w:lineRule="auto"/>
        <w:ind w:firstLine="0"/>
        <w:jc w:val="both"/>
        <w:rPr>
          <w:rFonts w:hint="eastAsia" w:ascii="仿宋" w:hAnsi="仿宋" w:eastAsia="仿宋" w:cs="仿宋"/>
          <w:snapToGrid w:val="0"/>
          <w:color w:val="auto"/>
          <w:kern w:val="0"/>
          <w:sz w:val="28"/>
          <w:szCs w:val="28"/>
          <w:highlight w:val="none"/>
          <w:shd w:val="clear" w:color="auto" w:fill="FFFFFF"/>
          <w:lang w:val="en-US" w:eastAsia="zh-CN" w:bidi="ar"/>
        </w:rPr>
      </w:pPr>
      <w:r>
        <w:rPr>
          <w:rFonts w:hint="eastAsia" w:ascii="仿宋" w:hAnsi="仿宋" w:eastAsia="仿宋" w:cs="仿宋"/>
          <w:color w:val="auto"/>
          <w:spacing w:val="0"/>
          <w:sz w:val="28"/>
          <w:szCs w:val="28"/>
          <w:highlight w:val="none"/>
          <w:shd w:val="clear" w:color="auto" w:fill="FFFFFF"/>
          <w:lang w:val="en-US" w:eastAsia="zh-CN"/>
        </w:rPr>
        <w:t>3、</w:t>
      </w:r>
      <w:r>
        <w:rPr>
          <w:rFonts w:hint="eastAsia" w:ascii="仿宋" w:hAnsi="仿宋" w:eastAsia="仿宋" w:cs="仿宋"/>
          <w:color w:val="auto"/>
          <w:spacing w:val="0"/>
          <w:sz w:val="28"/>
          <w:szCs w:val="28"/>
          <w:highlight w:val="none"/>
          <w:shd w:val="clear" w:color="auto" w:fill="FFFFFF"/>
        </w:rPr>
        <w:t>异议提交时间：</w:t>
      </w:r>
      <w:r>
        <w:rPr>
          <w:rFonts w:hint="eastAsia" w:ascii="仿宋" w:hAnsi="仿宋" w:eastAsia="仿宋" w:cs="仿宋"/>
          <w:snapToGrid w:val="0"/>
          <w:color w:val="auto"/>
          <w:kern w:val="0"/>
          <w:sz w:val="28"/>
          <w:szCs w:val="28"/>
          <w:highlight w:val="none"/>
          <w:shd w:val="clear" w:color="auto" w:fill="FFFFFF"/>
          <w:lang w:val="en-US" w:eastAsia="zh-CN" w:bidi="ar"/>
        </w:rPr>
        <w:t xml:space="preserve">投标截止之日前3个工作日。  </w:t>
      </w:r>
    </w:p>
    <w:p w14:paraId="40B21264">
      <w:pPr>
        <w:numPr>
          <w:ilvl w:val="-1"/>
          <w:numId w:val="0"/>
        </w:numPr>
        <w:snapToGrid/>
        <w:spacing w:line="360" w:lineRule="auto"/>
        <w:ind w:firstLine="0"/>
        <w:jc w:val="both"/>
        <w:rPr>
          <w:rFonts w:hint="eastAsia" w:ascii="仿宋" w:hAnsi="仿宋" w:eastAsia="仿宋" w:cs="仿宋"/>
          <w:snapToGrid w:val="0"/>
          <w:color w:val="auto"/>
          <w:kern w:val="0"/>
          <w:sz w:val="28"/>
          <w:szCs w:val="28"/>
          <w:highlight w:val="none"/>
          <w:shd w:val="clear" w:color="auto" w:fill="FFFFFF"/>
          <w:lang w:val="en-US" w:eastAsia="zh-CN" w:bidi="ar"/>
        </w:rPr>
      </w:pPr>
      <w:r>
        <w:rPr>
          <w:rFonts w:hint="eastAsia" w:ascii="仿宋" w:hAnsi="仿宋" w:eastAsia="仿宋" w:cs="仿宋"/>
          <w:color w:val="auto"/>
          <w:spacing w:val="0"/>
          <w:sz w:val="28"/>
          <w:szCs w:val="28"/>
          <w:highlight w:val="none"/>
          <w:shd w:val="clear" w:color="auto" w:fill="FFFFFF"/>
          <w:lang w:val="en-US" w:eastAsia="zh-CN" w:bidi="ar"/>
        </w:rPr>
        <w:t>4、</w:t>
      </w:r>
      <w:r>
        <w:rPr>
          <w:rFonts w:hint="eastAsia" w:ascii="仿宋" w:hAnsi="仿宋" w:eastAsia="仿宋" w:cs="仿宋"/>
          <w:color w:val="auto"/>
          <w:spacing w:val="0"/>
          <w:sz w:val="28"/>
          <w:szCs w:val="28"/>
          <w:highlight w:val="none"/>
          <w:shd w:val="clear" w:color="auto" w:fill="FFFFFF"/>
          <w:lang w:eastAsia="zh-CN" w:bidi="ar"/>
        </w:rPr>
        <w:t>现场考察：</w:t>
      </w:r>
      <w:r>
        <w:rPr>
          <w:rFonts w:hint="eastAsia" w:ascii="仿宋" w:hAnsi="仿宋" w:eastAsia="仿宋" w:cs="仿宋"/>
          <w:snapToGrid w:val="0"/>
          <w:color w:val="auto"/>
          <w:kern w:val="0"/>
          <w:sz w:val="28"/>
          <w:szCs w:val="28"/>
          <w:highlight w:val="none"/>
          <w:shd w:val="clear" w:color="auto" w:fill="FFFFFF"/>
          <w:lang w:val="en-US" w:eastAsia="zh-CN" w:bidi="ar"/>
        </w:rPr>
        <w:t>采购人不集中组织现场考察，供应商需自行到各项目现场踏勘，以充分了解项目情况、现场位置、情况、道路及任何其他足以影响报价的情况并结合企业自身情况，慎重报价。</w:t>
      </w:r>
    </w:p>
    <w:p w14:paraId="63D88B73">
      <w:pPr>
        <w:snapToGrid/>
        <w:spacing w:line="360" w:lineRule="auto"/>
        <w:ind w:firstLine="0"/>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5、交易时间：</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z w:val="28"/>
          <w:szCs w:val="28"/>
          <w:highlight w:val="none"/>
          <w:u w:val="single"/>
          <w:shd w:val="clear" w:color="auto" w:fill="FFFFFF"/>
          <w:lang w:val="en-US" w:eastAsia="zh-CN"/>
        </w:rPr>
        <w:t>2</w:t>
      </w:r>
      <w:r>
        <w:rPr>
          <w:rFonts w:hint="eastAsia" w:ascii="仿宋" w:hAnsi="仿宋" w:eastAsia="仿宋" w:cs="仿宋"/>
          <w:i w:val="0"/>
          <w:iCs w:val="0"/>
          <w:caps w:val="0"/>
          <w:color w:val="auto"/>
          <w:spacing w:val="0"/>
          <w:sz w:val="28"/>
          <w:szCs w:val="28"/>
          <w:highlight w:val="none"/>
          <w:u w:val="single"/>
          <w:shd w:val="clear" w:color="auto" w:fill="FFFFFF"/>
        </w:rPr>
        <w:t>025年</w:t>
      </w:r>
      <w:r>
        <w:rPr>
          <w:rFonts w:hint="eastAsia" w:ascii="仿宋" w:hAnsi="仿宋" w:eastAsia="仿宋" w:cs="仿宋"/>
          <w:i w:val="0"/>
          <w:iCs w:val="0"/>
          <w:caps w:val="0"/>
          <w:color w:val="auto"/>
          <w:spacing w:val="0"/>
          <w:sz w:val="28"/>
          <w:szCs w:val="28"/>
          <w:highlight w:val="none"/>
          <w:u w:val="single"/>
          <w:shd w:val="clear" w:color="auto" w:fill="FFFFFF"/>
          <w:lang w:val="en-US" w:eastAsia="zh-CN"/>
        </w:rPr>
        <w:t>6</w:t>
      </w:r>
      <w:r>
        <w:rPr>
          <w:rFonts w:hint="eastAsia" w:ascii="仿宋" w:hAnsi="仿宋" w:eastAsia="仿宋" w:cs="仿宋"/>
          <w:i w:val="0"/>
          <w:iCs w:val="0"/>
          <w:caps w:val="0"/>
          <w:color w:val="auto"/>
          <w:spacing w:val="0"/>
          <w:sz w:val="28"/>
          <w:szCs w:val="28"/>
          <w:highlight w:val="none"/>
          <w:u w:val="single"/>
          <w:shd w:val="clear" w:color="auto" w:fill="FFFFFF"/>
        </w:rPr>
        <w:t>月</w:t>
      </w:r>
      <w:r>
        <w:rPr>
          <w:rFonts w:hint="eastAsia" w:ascii="仿宋" w:hAnsi="仿宋" w:eastAsia="仿宋" w:cs="仿宋"/>
          <w:i w:val="0"/>
          <w:iCs w:val="0"/>
          <w:caps w:val="0"/>
          <w:color w:val="auto"/>
          <w:spacing w:val="0"/>
          <w:sz w:val="28"/>
          <w:szCs w:val="28"/>
          <w:highlight w:val="none"/>
          <w:u w:val="single"/>
          <w:shd w:val="clear" w:color="auto" w:fill="FFFFFF"/>
          <w:lang w:eastAsia="zh-CN"/>
        </w:rPr>
        <w:t>4</w:t>
      </w:r>
      <w:r>
        <w:rPr>
          <w:rFonts w:hint="eastAsia" w:ascii="仿宋" w:hAnsi="仿宋" w:eastAsia="仿宋" w:cs="仿宋"/>
          <w:i w:val="0"/>
          <w:iCs w:val="0"/>
          <w:caps w:val="0"/>
          <w:color w:val="auto"/>
          <w:spacing w:val="0"/>
          <w:sz w:val="28"/>
          <w:szCs w:val="28"/>
          <w:highlight w:val="none"/>
          <w:u w:val="single"/>
          <w:shd w:val="clear" w:color="auto" w:fill="FFFFFF"/>
        </w:rPr>
        <w:t>日</w:t>
      </w:r>
      <w:r>
        <w:rPr>
          <w:rFonts w:hint="eastAsia" w:ascii="仿宋" w:hAnsi="仿宋" w:eastAsia="仿宋" w:cs="仿宋"/>
          <w:i w:val="0"/>
          <w:iCs w:val="0"/>
          <w:caps w:val="0"/>
          <w:color w:val="auto"/>
          <w:spacing w:val="0"/>
          <w:sz w:val="28"/>
          <w:szCs w:val="28"/>
          <w:highlight w:val="none"/>
          <w:u w:val="single"/>
          <w:shd w:val="clear" w:color="auto" w:fill="FFFFFF"/>
          <w:lang w:eastAsia="zh-CN"/>
        </w:rPr>
        <w:t>9</w:t>
      </w:r>
      <w:r>
        <w:rPr>
          <w:rFonts w:hint="eastAsia" w:ascii="仿宋" w:hAnsi="仿宋" w:eastAsia="仿宋" w:cs="仿宋"/>
          <w:i w:val="0"/>
          <w:iCs w:val="0"/>
          <w:caps w:val="0"/>
          <w:color w:val="auto"/>
          <w:spacing w:val="0"/>
          <w:sz w:val="28"/>
          <w:szCs w:val="28"/>
          <w:highlight w:val="none"/>
          <w:u w:val="single"/>
          <w:shd w:val="clear" w:color="auto" w:fill="FFFFFF"/>
        </w:rPr>
        <w:t>时00分00秒</w:t>
      </w:r>
      <w:r>
        <w:rPr>
          <w:rFonts w:hint="eastAsia" w:ascii="仿宋" w:hAnsi="仿宋" w:eastAsia="仿宋" w:cs="仿宋"/>
          <w:color w:val="auto"/>
          <w:spacing w:val="0"/>
          <w:sz w:val="28"/>
          <w:szCs w:val="28"/>
          <w:highlight w:val="none"/>
          <w:lang w:val="en-US" w:eastAsia="zh-CN"/>
        </w:rPr>
        <w:t xml:space="preserve">。   </w:t>
      </w:r>
    </w:p>
    <w:p w14:paraId="51C312AE">
      <w:pPr>
        <w:snapToGrid/>
        <w:spacing w:line="360" w:lineRule="auto"/>
        <w:ind w:firstLine="0"/>
        <w:jc w:val="both"/>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highlight w:val="none"/>
          <w:shd w:val="clear" w:color="auto" w:fill="FFFFFF"/>
          <w:lang w:val="en-US" w:eastAsia="zh-CN" w:bidi="ar"/>
        </w:rPr>
        <w:t>6、交易地点：</w:t>
      </w:r>
      <w:r>
        <w:rPr>
          <w:rFonts w:hint="eastAsia" w:ascii="仿宋" w:hAnsi="仿宋" w:eastAsia="仿宋" w:cs="仿宋"/>
          <w:color w:val="auto"/>
          <w:spacing w:val="0"/>
          <w:sz w:val="28"/>
          <w:szCs w:val="28"/>
          <w:u w:val="single"/>
          <w:lang w:val="en-US" w:eastAsia="zh-CN"/>
        </w:rPr>
        <w:t xml:space="preserve">响应人自行选择任意地点参加全流程电子化交易会/杭州市建国南路168号东杭州水务招标采购中心1楼开标室。 </w:t>
      </w:r>
      <w:r>
        <w:rPr>
          <w:rFonts w:hint="eastAsia" w:ascii="仿宋" w:hAnsi="仿宋" w:eastAsia="仿宋" w:cs="仿宋"/>
          <w:color w:val="auto"/>
          <w:spacing w:val="0"/>
          <w:sz w:val="28"/>
          <w:szCs w:val="28"/>
          <w:lang w:val="en-US" w:eastAsia="zh-CN"/>
        </w:rPr>
        <w:t xml:space="preserve">                   </w:t>
      </w:r>
    </w:p>
    <w:p w14:paraId="57AE8A5A">
      <w:pPr>
        <w:pStyle w:val="5"/>
        <w:snapToGrid/>
        <w:spacing w:before="0" w:after="0" w:line="500" w:lineRule="auto"/>
        <w:jc w:val="both"/>
        <w:rPr>
          <w:color w:val="auto"/>
          <w:highlight w:val="none"/>
        </w:rPr>
      </w:pPr>
      <w:r>
        <w:rPr>
          <w:rFonts w:hint="eastAsia"/>
          <w:color w:val="auto"/>
          <w:highlight w:val="none"/>
          <w:shd w:val="clear" w:color="auto" w:fill="FFFFFF"/>
          <w:lang w:val="en-US" w:eastAsia="zh-CN"/>
        </w:rPr>
        <w:t>八</w:t>
      </w:r>
      <w:r>
        <w:rPr>
          <w:color w:val="auto"/>
          <w:highlight w:val="none"/>
        </w:rPr>
        <w:t>、响应人系统操作须知</w:t>
      </w:r>
      <w:r>
        <w:rPr>
          <w:color w:val="auto"/>
          <w:highlight w:val="none"/>
          <w:shd w:val="clear" w:color="auto" w:fill="FFFFFF"/>
        </w:rPr>
        <w:t xml:space="preserve">：     </w:t>
      </w:r>
      <w:r>
        <w:rPr>
          <w:rFonts w:ascii="仿宋_GB2312" w:hAnsi="仿宋_GB2312" w:eastAsia="仿宋_GB2312" w:cs="仿宋_GB2312"/>
          <w:color w:val="auto"/>
          <w:highlight w:val="none"/>
          <w:shd w:val="clear" w:color="auto" w:fill="FFFFFF"/>
        </w:rPr>
        <w:t xml:space="preserve"> </w:t>
      </w:r>
    </w:p>
    <w:p w14:paraId="39896A6D">
      <w:pPr>
        <w:keepNext w:val="0"/>
        <w:keepLines w:val="0"/>
        <w:pageBreakBefore w:val="0"/>
        <w:widowControl w:val="0"/>
        <w:kinsoku/>
        <w:wordWrap w:val="0"/>
        <w:overflowPunct/>
        <w:topLinePunct w:val="0"/>
        <w:autoSpaceDE/>
        <w:autoSpaceDN/>
        <w:bidi w:val="0"/>
        <w:adjustRightInd/>
        <w:snapToGrid/>
        <w:spacing w:before="0" w:after="0" w:line="360" w:lineRule="auto"/>
        <w:ind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1、</w:t>
      </w:r>
      <w:bookmarkStart w:id="7" w:name="OLE_LINK5"/>
      <w:r>
        <w:rPr>
          <w:rFonts w:hint="eastAsia" w:ascii="仿宋" w:hAnsi="仿宋" w:eastAsia="仿宋" w:cs="仿宋"/>
          <w:color w:val="auto"/>
          <w:sz w:val="28"/>
          <w:szCs w:val="28"/>
          <w:highlight w:val="none"/>
          <w:shd w:val="clear" w:color="auto" w:fill="FFFFFF"/>
        </w:rPr>
        <w:t>本项目使用电子交易系统进行业务办理，响应人首先需在</w:t>
      </w:r>
      <w:r>
        <w:rPr>
          <w:rFonts w:hint="eastAsia" w:ascii="仿宋" w:hAnsi="仿宋" w:eastAsia="仿宋" w:cs="仿宋"/>
          <w:color w:val="auto"/>
          <w:sz w:val="28"/>
          <w:szCs w:val="28"/>
          <w:highlight w:val="none"/>
          <w:u w:val="none"/>
          <w:shd w:val="clear" w:color="auto" w:fill="FFFFFF"/>
          <w:lang w:val="en-US" w:eastAsia="zh-CN"/>
        </w:rPr>
        <w:t>“易滨通”小额项目综合管理平台</w:t>
      </w:r>
      <w:r>
        <w:rPr>
          <w:rFonts w:hint="eastAsia" w:ascii="仿宋" w:hAnsi="仿宋" w:eastAsia="仿宋" w:cs="仿宋"/>
          <w:color w:val="auto"/>
          <w:sz w:val="28"/>
          <w:szCs w:val="28"/>
          <w:highlight w:val="none"/>
          <w:shd w:val="clear" w:color="auto" w:fill="FFFFFF"/>
        </w:rPr>
        <w:t>（https://bhb.hhtz.gov.cn/bhb-company-pc/index.html#/micro-xefw?xefw=%2Fybt%2F</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点击项目交易</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）中进行企业注册并进行CA锁绑定</w:t>
      </w:r>
      <w:bookmarkEnd w:id="7"/>
      <w:r>
        <w:rPr>
          <w:rFonts w:hint="eastAsia" w:ascii="仿宋" w:hAnsi="仿宋" w:eastAsia="仿宋" w:cs="仿宋"/>
          <w:color w:val="auto"/>
          <w:sz w:val="28"/>
          <w:szCs w:val="28"/>
          <w:highlight w:val="none"/>
          <w:shd w:val="clear" w:color="auto" w:fill="FFFFFF"/>
        </w:rPr>
        <w:t>（未有CA锁的请网上自行办理http://tseal.cn/tcloud/common.xhtml?projId=198）</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shd w:val="clear" w:color="auto" w:fill="FFFFFF"/>
        </w:rPr>
        <w:t>；然后方可</w:t>
      </w:r>
      <w:r>
        <w:rPr>
          <w:rFonts w:hint="eastAsia" w:ascii="仿宋" w:hAnsi="仿宋" w:eastAsia="仿宋" w:cs="仿宋"/>
          <w:color w:val="auto"/>
          <w:sz w:val="28"/>
          <w:szCs w:val="28"/>
          <w:highlight w:val="none"/>
          <w:shd w:val="clear" w:color="auto" w:fill="FFFFFF"/>
          <w:lang w:eastAsia="zh-CN"/>
        </w:rPr>
        <w:t>登录该平台</w:t>
      </w:r>
      <w:r>
        <w:rPr>
          <w:rFonts w:hint="eastAsia" w:ascii="仿宋" w:hAnsi="仿宋" w:eastAsia="仿宋" w:cs="仿宋"/>
          <w:color w:val="auto"/>
          <w:sz w:val="28"/>
          <w:szCs w:val="28"/>
          <w:highlight w:val="none"/>
          <w:shd w:val="clear" w:color="auto" w:fill="FFFFFF"/>
        </w:rPr>
        <w:t>参与项目交易公告查看、附件下载和电子响应文件上传等业务操作，</w:t>
      </w:r>
      <w:r>
        <w:rPr>
          <w:rFonts w:hint="eastAsia" w:ascii="仿宋" w:hAnsi="仿宋" w:eastAsia="仿宋" w:cs="仿宋"/>
          <w:color w:val="auto"/>
          <w:sz w:val="28"/>
          <w:szCs w:val="28"/>
          <w:highlight w:val="none"/>
          <w:shd w:val="clear" w:color="auto" w:fill="FFFFFF"/>
          <w:lang w:val="en-US" w:eastAsia="zh-CN"/>
        </w:rPr>
        <w:t>响应工具下载地址：</w:t>
      </w:r>
      <w:r>
        <w:rPr>
          <w:rFonts w:hint="eastAsia" w:ascii="仿宋" w:hAnsi="仿宋" w:eastAsia="仿宋" w:cs="仿宋"/>
          <w:color w:val="auto"/>
          <w:sz w:val="28"/>
          <w:szCs w:val="28"/>
          <w:highlight w:val="none"/>
          <w:u w:val="single"/>
          <w:shd w:val="clear" w:color="auto" w:fill="FFFFFF"/>
        </w:rPr>
        <w:t>https://bhb.hhtz.gov.cn/bhb-company-pc/index.html#/micro-xefw?xefw=%2Fybt%2F</w:t>
      </w:r>
      <w:r>
        <w:rPr>
          <w:rFonts w:hint="eastAsia" w:ascii="仿宋" w:hAnsi="仿宋" w:eastAsia="仿宋" w:cs="仿宋"/>
          <w:color w:val="auto"/>
          <w:sz w:val="28"/>
          <w:szCs w:val="28"/>
          <w:highlight w:val="none"/>
          <w:u w:val="single"/>
          <w:shd w:val="clear" w:color="auto" w:fill="FFFFFF"/>
          <w:lang w:eastAsia="zh-CN"/>
        </w:rPr>
        <w:t>【</w:t>
      </w:r>
      <w:r>
        <w:rPr>
          <w:rFonts w:hint="eastAsia" w:ascii="仿宋" w:hAnsi="仿宋" w:eastAsia="仿宋" w:cs="仿宋"/>
          <w:color w:val="auto"/>
          <w:sz w:val="28"/>
          <w:szCs w:val="28"/>
          <w:highlight w:val="none"/>
          <w:u w:val="single"/>
          <w:shd w:val="clear" w:color="auto" w:fill="FFFFFF"/>
          <w:lang w:val="en-US" w:eastAsia="zh-CN"/>
        </w:rPr>
        <w:t>点击项目交易</w:t>
      </w:r>
      <w:r>
        <w:rPr>
          <w:rFonts w:hint="eastAsia" w:ascii="仿宋" w:hAnsi="仿宋" w:eastAsia="仿宋" w:cs="仿宋"/>
          <w:color w:val="auto"/>
          <w:sz w:val="28"/>
          <w:szCs w:val="28"/>
          <w:highlight w:val="none"/>
          <w:u w:val="single"/>
          <w:shd w:val="clear" w:color="auto" w:fill="FFFFFF"/>
          <w:lang w:eastAsia="zh-CN"/>
        </w:rPr>
        <w:t>】</w:t>
      </w:r>
      <w:r>
        <w:rPr>
          <w:rFonts w:hint="eastAsia" w:ascii="仿宋" w:hAnsi="仿宋" w:eastAsia="仿宋" w:cs="仿宋"/>
          <w:color w:val="auto"/>
          <w:sz w:val="28"/>
          <w:szCs w:val="28"/>
          <w:highlight w:val="none"/>
          <w:u w:val="none"/>
          <w:shd w:val="clear" w:color="auto" w:fill="FFFFFF"/>
          <w:lang w:val="en-US" w:eastAsia="zh-CN"/>
        </w:rPr>
        <w:t>（</w:t>
      </w:r>
      <w:r>
        <w:rPr>
          <w:rFonts w:hint="eastAsia" w:ascii="仿宋" w:hAnsi="仿宋" w:eastAsia="仿宋" w:cs="仿宋"/>
          <w:color w:val="auto"/>
          <w:sz w:val="28"/>
          <w:szCs w:val="28"/>
          <w:highlight w:val="none"/>
          <w:u w:val="none"/>
          <w:shd w:val="clear" w:color="auto" w:fill="FFFFFF"/>
        </w:rPr>
        <w:t>根据操作手册</w:t>
      </w:r>
      <w:r>
        <w:rPr>
          <w:rFonts w:hint="eastAsia" w:ascii="仿宋" w:hAnsi="仿宋" w:eastAsia="仿宋" w:cs="仿宋"/>
          <w:color w:val="auto"/>
          <w:sz w:val="28"/>
          <w:szCs w:val="28"/>
          <w:highlight w:val="none"/>
          <w:u w:val="none"/>
          <w:shd w:val="clear" w:color="auto" w:fill="FFFFFF"/>
          <w:lang w:val="en-US" w:eastAsia="zh-CN"/>
        </w:rPr>
        <w:t>）安装和制作电子响应文件，</w:t>
      </w:r>
      <w:r>
        <w:rPr>
          <w:rFonts w:hint="eastAsia" w:ascii="仿宋" w:hAnsi="仿宋" w:eastAsia="仿宋" w:cs="仿宋"/>
          <w:color w:val="auto"/>
          <w:sz w:val="28"/>
          <w:szCs w:val="28"/>
          <w:highlight w:val="none"/>
          <w:shd w:val="clear" w:color="auto" w:fill="FFFFFF"/>
        </w:rPr>
        <w:t>未登录</w:t>
      </w:r>
      <w:r>
        <w:rPr>
          <w:rFonts w:hint="eastAsia" w:ascii="仿宋" w:hAnsi="仿宋" w:eastAsia="仿宋" w:cs="仿宋"/>
          <w:color w:val="auto"/>
          <w:sz w:val="28"/>
          <w:szCs w:val="28"/>
          <w:highlight w:val="none"/>
          <w:shd w:val="clear" w:color="auto" w:fill="FFFFFF"/>
          <w:lang w:val="en-US" w:eastAsia="zh-CN"/>
        </w:rPr>
        <w:t>该平台</w:t>
      </w:r>
      <w:r>
        <w:rPr>
          <w:rFonts w:hint="eastAsia" w:ascii="仿宋" w:hAnsi="仿宋" w:eastAsia="仿宋" w:cs="仿宋"/>
          <w:color w:val="auto"/>
          <w:sz w:val="28"/>
          <w:szCs w:val="28"/>
          <w:highlight w:val="none"/>
          <w:shd w:val="clear" w:color="auto" w:fill="FFFFFF"/>
        </w:rPr>
        <w:t>的业务操作行为一律无效；</w:t>
      </w:r>
    </w:p>
    <w:p w14:paraId="53A934A1">
      <w:pPr>
        <w:keepNext w:val="0"/>
        <w:keepLines w:val="0"/>
        <w:pageBreakBefore w:val="0"/>
        <w:widowControl w:val="0"/>
        <w:kinsoku/>
        <w:wordWrap w:val="0"/>
        <w:overflowPunct/>
        <w:topLinePunct w:val="0"/>
        <w:autoSpaceDE/>
        <w:autoSpaceDN/>
        <w:bidi w:val="0"/>
        <w:adjustRightInd/>
        <w:snapToGrid/>
        <w:spacing w:before="0" w:after="0" w:line="360" w:lineRule="auto"/>
        <w:ind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2、企业注册：点击</w:t>
      </w:r>
      <w:r>
        <w:rPr>
          <w:rFonts w:hint="eastAsia" w:ascii="仿宋" w:hAnsi="仿宋" w:eastAsia="仿宋" w:cs="仿宋"/>
          <w:color w:val="auto"/>
          <w:sz w:val="28"/>
          <w:szCs w:val="28"/>
          <w:highlight w:val="none"/>
          <w:u w:val="none"/>
          <w:shd w:val="clear" w:color="auto" w:fill="FFFFFF"/>
          <w:lang w:val="en-US" w:eastAsia="zh-CN"/>
        </w:rPr>
        <w:t>“易滨通”小额项目综合管理平台</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u w:val="single"/>
          <w:shd w:val="clear" w:color="auto" w:fill="FFFFFF"/>
        </w:rPr>
        <w:t>https://bhb.hhtz.gov.cn/bhb-company-pc/index.html#/micro-xefw?xefw=%2Fybt%2F</w:t>
      </w:r>
      <w:r>
        <w:rPr>
          <w:rFonts w:hint="eastAsia" w:ascii="仿宋" w:hAnsi="仿宋" w:eastAsia="仿宋" w:cs="仿宋"/>
          <w:color w:val="auto"/>
          <w:sz w:val="28"/>
          <w:szCs w:val="28"/>
          <w:highlight w:val="none"/>
          <w:shd w:val="clear" w:color="auto" w:fill="FFFFFF"/>
        </w:rPr>
        <w:t>）的“</w:t>
      </w:r>
      <w:r>
        <w:rPr>
          <w:rFonts w:hint="eastAsia" w:ascii="仿宋" w:hAnsi="仿宋" w:eastAsia="仿宋" w:cs="仿宋"/>
          <w:color w:val="auto"/>
          <w:sz w:val="28"/>
          <w:szCs w:val="28"/>
          <w:highlight w:val="none"/>
          <w:shd w:val="clear" w:color="auto" w:fill="FFFFFF"/>
          <w:lang w:val="en-US" w:eastAsia="zh-CN"/>
        </w:rPr>
        <w:t>法人</w:t>
      </w:r>
      <w:r>
        <w:rPr>
          <w:rFonts w:hint="eastAsia" w:ascii="仿宋" w:hAnsi="仿宋" w:eastAsia="仿宋" w:cs="仿宋"/>
          <w:color w:val="auto"/>
          <w:sz w:val="28"/>
          <w:szCs w:val="28"/>
          <w:highlight w:val="none"/>
          <w:shd w:val="clear" w:color="auto" w:fill="FFFFFF"/>
        </w:rPr>
        <w:t>登录”</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strike w:val="0"/>
          <w:dstrike w:val="0"/>
          <w:color w:val="auto"/>
          <w:sz w:val="28"/>
          <w:szCs w:val="28"/>
          <w:highlight w:val="none"/>
          <w:shd w:val="clear" w:color="auto" w:fill="FFFFFF"/>
          <w:lang w:val="en-US" w:eastAsia="zh-CN"/>
        </w:rPr>
        <w:t>登录后点击项目交易，</w:t>
      </w:r>
      <w:r>
        <w:rPr>
          <w:rFonts w:hint="eastAsia" w:ascii="仿宋" w:hAnsi="仿宋" w:eastAsia="仿宋" w:cs="仿宋"/>
          <w:color w:val="auto"/>
          <w:sz w:val="28"/>
          <w:szCs w:val="28"/>
          <w:highlight w:val="none"/>
          <w:shd w:val="clear" w:color="auto" w:fill="FFFFFF"/>
        </w:rPr>
        <w:t>进行企业信息登记，具体操作详见</w:t>
      </w:r>
      <w:r>
        <w:rPr>
          <w:rFonts w:hint="eastAsia" w:ascii="仿宋" w:hAnsi="仿宋" w:eastAsia="仿宋" w:cs="仿宋"/>
          <w:color w:val="auto"/>
          <w:sz w:val="28"/>
          <w:szCs w:val="28"/>
          <w:highlight w:val="none"/>
          <w:u w:val="none"/>
          <w:shd w:val="clear" w:color="auto" w:fill="FFFFFF"/>
          <w:lang w:val="en-US" w:eastAsia="zh-CN"/>
        </w:rPr>
        <w:t>“易滨通”小额项目综合管理平台</w:t>
      </w:r>
      <w:r>
        <w:rPr>
          <w:rFonts w:hint="eastAsia" w:ascii="仿宋" w:hAnsi="仿宋" w:eastAsia="仿宋" w:cs="仿宋"/>
          <w:color w:val="auto"/>
          <w:sz w:val="28"/>
          <w:szCs w:val="28"/>
          <w:highlight w:val="none"/>
          <w:shd w:val="clear" w:color="auto" w:fill="FFFFFF"/>
        </w:rPr>
        <w:t>的操作手册，企业注册不需要进行现场审核。</w:t>
      </w:r>
    </w:p>
    <w:p w14:paraId="38264165">
      <w:pPr>
        <w:snapToGrid/>
        <w:spacing w:before="0" w:after="0" w:line="360" w:lineRule="auto"/>
        <w:ind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rPr>
        <w:t>、响应文件</w:t>
      </w:r>
      <w:r>
        <w:rPr>
          <w:rFonts w:hint="eastAsia" w:ascii="仿宋" w:hAnsi="仿宋" w:eastAsia="仿宋" w:cs="仿宋"/>
          <w:color w:val="auto"/>
          <w:sz w:val="28"/>
          <w:szCs w:val="28"/>
          <w:highlight w:val="none"/>
          <w:shd w:val="clear" w:color="auto" w:fill="FFFFFF"/>
          <w:lang w:eastAsia="zh-CN"/>
        </w:rPr>
        <w:t>提交</w:t>
      </w:r>
      <w:r>
        <w:rPr>
          <w:rFonts w:hint="eastAsia" w:ascii="仿宋" w:hAnsi="仿宋" w:eastAsia="仿宋" w:cs="仿宋"/>
          <w:color w:val="auto"/>
          <w:sz w:val="28"/>
          <w:szCs w:val="28"/>
          <w:highlight w:val="none"/>
          <w:shd w:val="clear" w:color="auto" w:fill="FFFFFF"/>
        </w:rPr>
        <w:t>截止时间后，</w:t>
      </w:r>
      <w:r>
        <w:rPr>
          <w:rFonts w:hint="eastAsia" w:ascii="仿宋" w:hAnsi="仿宋" w:eastAsia="仿宋" w:cs="仿宋"/>
          <w:color w:val="auto"/>
          <w:sz w:val="28"/>
          <w:szCs w:val="28"/>
          <w:highlight w:val="none"/>
          <w:shd w:val="clear" w:color="auto" w:fill="FFFFFF"/>
          <w:lang w:val="en-US" w:eastAsia="zh-CN"/>
        </w:rPr>
        <w:t>发起人/中介机构</w:t>
      </w:r>
      <w:r>
        <w:rPr>
          <w:rFonts w:hint="eastAsia" w:ascii="仿宋" w:hAnsi="仿宋" w:eastAsia="仿宋" w:cs="仿宋"/>
          <w:color w:val="auto"/>
          <w:sz w:val="28"/>
          <w:szCs w:val="28"/>
          <w:highlight w:val="none"/>
          <w:shd w:val="clear" w:color="auto" w:fill="FFFFFF"/>
        </w:rPr>
        <w:t>将在系统内公布响应人名单</w:t>
      </w:r>
      <w:r>
        <w:rPr>
          <w:rFonts w:hint="eastAsia" w:ascii="仿宋" w:hAnsi="仿宋" w:eastAsia="仿宋" w:cs="仿宋"/>
          <w:color w:val="auto"/>
          <w:sz w:val="28"/>
          <w:szCs w:val="28"/>
          <w:highlight w:val="none"/>
          <w:shd w:val="clear" w:color="auto" w:fill="FFFFFF"/>
          <w:lang w:val="en-US" w:eastAsia="zh-CN"/>
        </w:rPr>
        <w:t>并进行解密</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响应人可在线查看解密情况，若响应文件格式错误不符合交易文件要求的，文件内容缺失或损坏，导致解密时无法正确读取的，由响应人负责。</w:t>
      </w:r>
    </w:p>
    <w:p w14:paraId="17DA77D6">
      <w:pPr>
        <w:snapToGrid/>
        <w:spacing w:before="0" w:after="0" w:line="360" w:lineRule="auto"/>
        <w:ind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4</w:t>
      </w:r>
      <w:r>
        <w:rPr>
          <w:rFonts w:hint="eastAsia" w:ascii="仿宋" w:hAnsi="仿宋" w:eastAsia="仿宋" w:cs="仿宋"/>
          <w:color w:val="auto"/>
          <w:sz w:val="28"/>
          <w:szCs w:val="28"/>
          <w:highlight w:val="none"/>
          <w:shd w:val="clear" w:color="auto" w:fill="FFFFFF"/>
        </w:rPr>
        <w:t>、交易全过程中，各响应人参与远程交互的授权委托人或法人代表应始终为同一个人，中途不得更换，在</w:t>
      </w:r>
      <w:bookmarkStart w:id="8" w:name="OLE_LINK4"/>
      <w:r>
        <w:rPr>
          <w:rFonts w:hint="eastAsia" w:ascii="仿宋" w:hAnsi="仿宋" w:eastAsia="仿宋" w:cs="仿宋"/>
          <w:color w:val="auto"/>
          <w:sz w:val="28"/>
          <w:szCs w:val="28"/>
          <w:highlight w:val="none"/>
          <w:shd w:val="clear" w:color="auto" w:fill="FFFFFF"/>
        </w:rPr>
        <w:t>解密、</w:t>
      </w:r>
      <w:bookmarkEnd w:id="8"/>
      <w:r>
        <w:rPr>
          <w:rFonts w:hint="eastAsia" w:ascii="仿宋" w:hAnsi="仿宋" w:eastAsia="仿宋" w:cs="仿宋"/>
          <w:color w:val="auto"/>
          <w:sz w:val="28"/>
          <w:szCs w:val="28"/>
          <w:highlight w:val="none"/>
          <w:shd w:val="clear" w:color="auto" w:fill="FFFFFF"/>
          <w:lang w:val="en-US" w:eastAsia="zh-CN"/>
        </w:rPr>
        <w:t>符合</w:t>
      </w:r>
      <w:r>
        <w:rPr>
          <w:rFonts w:hint="eastAsia" w:ascii="仿宋" w:hAnsi="仿宋" w:eastAsia="仿宋" w:cs="仿宋"/>
          <w:color w:val="auto"/>
          <w:sz w:val="28"/>
          <w:szCs w:val="28"/>
          <w:highlight w:val="none"/>
          <w:shd w:val="clear" w:color="auto" w:fill="FFFFFF"/>
          <w:lang w:eastAsia="zh-CN"/>
        </w:rPr>
        <w:t>性审查</w:t>
      </w:r>
      <w:r>
        <w:rPr>
          <w:rFonts w:hint="eastAsia" w:ascii="仿宋" w:hAnsi="仿宋" w:eastAsia="仿宋" w:cs="仿宋"/>
          <w:color w:val="auto"/>
          <w:sz w:val="28"/>
          <w:szCs w:val="28"/>
          <w:highlight w:val="none"/>
          <w:shd w:val="clear" w:color="auto" w:fill="FFFFFF"/>
        </w:rPr>
        <w:t>等特殊情况下需要交互时，响应人一端参与交互的人员将</w:t>
      </w:r>
      <w:r>
        <w:rPr>
          <w:rFonts w:hint="eastAsia" w:ascii="仿宋" w:hAnsi="仿宋" w:eastAsia="仿宋" w:cs="仿宋"/>
          <w:color w:val="auto"/>
          <w:sz w:val="28"/>
          <w:szCs w:val="28"/>
          <w:highlight w:val="none"/>
          <w:shd w:val="clear" w:color="auto" w:fill="FFFFFF"/>
          <w:lang w:eastAsia="zh-CN"/>
        </w:rPr>
        <w:t>均被视为</w:t>
      </w:r>
      <w:r>
        <w:rPr>
          <w:rFonts w:hint="eastAsia" w:ascii="仿宋" w:hAnsi="仿宋" w:eastAsia="仿宋" w:cs="仿宋"/>
          <w:color w:val="auto"/>
          <w:sz w:val="28"/>
          <w:szCs w:val="28"/>
          <w:highlight w:val="none"/>
          <w:shd w:val="clear" w:color="auto" w:fill="FFFFFF"/>
        </w:rPr>
        <w:t>响应人的授权委托人或法人代表，响应人不得以不承认交互人员的资格或身份等为借口抵赖推脱，响应人自行承担随意更换人员所导致的一切后果。</w:t>
      </w:r>
    </w:p>
    <w:p w14:paraId="0E4EC5FD">
      <w:pPr>
        <w:snapToGrid/>
        <w:spacing w:before="0" w:after="0" w:line="360" w:lineRule="auto"/>
        <w:ind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、为顺利实现本项目交易的远程交互，建议响应人配置的硬件设施有：高配置电脑、高速稳定的网络、电源（不间断）、CA 锁、音视频设备（耳麦、话筒、高清摄像头、音响）等；建议响应人具备的软件设施有：</w:t>
      </w:r>
      <w:r>
        <w:rPr>
          <w:rFonts w:hint="eastAsia" w:ascii="仿宋" w:hAnsi="仿宋" w:eastAsia="仿宋" w:cs="仿宋"/>
          <w:color w:val="auto"/>
          <w:sz w:val="28"/>
          <w:szCs w:val="28"/>
          <w:highlight w:val="none"/>
          <w:u w:val="single"/>
          <w:shd w:val="clear" w:color="auto" w:fill="FFFFFF"/>
          <w:lang w:val="en-US" w:eastAsia="zh-CN"/>
        </w:rPr>
        <w:t>品茗驱动</w:t>
      </w:r>
      <w:r>
        <w:rPr>
          <w:rFonts w:hint="eastAsia" w:ascii="仿宋" w:hAnsi="仿宋" w:eastAsia="仿宋" w:cs="仿宋"/>
          <w:color w:val="auto"/>
          <w:sz w:val="28"/>
          <w:szCs w:val="28"/>
          <w:highlight w:val="none"/>
          <w:shd w:val="clear" w:color="auto" w:fill="FFFFFF"/>
        </w:rPr>
        <w:t>（可到</w:t>
      </w:r>
      <w:r>
        <w:rPr>
          <w:rFonts w:hint="eastAsia" w:ascii="仿宋" w:hAnsi="仿宋" w:eastAsia="仿宋" w:cs="仿宋"/>
          <w:color w:val="auto"/>
          <w:sz w:val="28"/>
          <w:szCs w:val="28"/>
          <w:highlight w:val="none"/>
          <w:shd w:val="clear" w:color="auto" w:fill="FFFFFF"/>
          <w:lang w:val="en-US" w:eastAsia="zh-CN"/>
        </w:rPr>
        <w:t>“易滨通”小额项目综合管理平台下载安装</w:t>
      </w:r>
      <w:r>
        <w:rPr>
          <w:rFonts w:hint="eastAsia" w:ascii="仿宋" w:hAnsi="仿宋" w:eastAsia="仿宋" w:cs="仿宋"/>
          <w:color w:val="auto"/>
          <w:sz w:val="28"/>
          <w:szCs w:val="28"/>
          <w:highlight w:val="none"/>
          <w:shd w:val="clear" w:color="auto" w:fill="FFFFFF"/>
        </w:rPr>
        <w:t>）。</w:t>
      </w:r>
    </w:p>
    <w:p w14:paraId="2A98262D">
      <w:pPr>
        <w:snapToGrid/>
        <w:spacing w:before="0" w:after="0" w:line="360" w:lineRule="auto"/>
        <w:ind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6</w:t>
      </w:r>
      <w:r>
        <w:rPr>
          <w:rFonts w:hint="eastAsia" w:ascii="仿宋" w:hAnsi="仿宋" w:eastAsia="仿宋" w:cs="仿宋"/>
          <w:color w:val="auto"/>
          <w:sz w:val="28"/>
          <w:szCs w:val="28"/>
          <w:highlight w:val="none"/>
          <w:shd w:val="clear" w:color="auto" w:fill="FFFFFF"/>
        </w:rPr>
        <w:t>、响应单位应</w:t>
      </w:r>
      <w:r>
        <w:rPr>
          <w:rFonts w:hint="eastAsia" w:ascii="仿宋" w:hAnsi="仿宋" w:eastAsia="仿宋" w:cs="仿宋"/>
          <w:color w:val="auto"/>
          <w:sz w:val="28"/>
          <w:szCs w:val="28"/>
          <w:highlight w:val="none"/>
          <w:shd w:val="clear" w:color="auto" w:fill="FFFFFF"/>
          <w:lang w:eastAsia="zh-CN"/>
        </w:rPr>
        <w:t>充分考虑</w:t>
      </w:r>
      <w:r>
        <w:rPr>
          <w:rFonts w:hint="eastAsia" w:ascii="仿宋" w:hAnsi="仿宋" w:eastAsia="仿宋" w:cs="仿宋"/>
          <w:color w:val="auto"/>
          <w:sz w:val="28"/>
          <w:szCs w:val="28"/>
          <w:highlight w:val="none"/>
          <w:shd w:val="clear" w:color="auto" w:fill="FFFFFF"/>
        </w:rPr>
        <w:t>网络及系统平台可能存在的非正常情况，在响应文件制作完成后尽早完成上传。</w:t>
      </w:r>
    </w:p>
    <w:p w14:paraId="4B0E76A9">
      <w:pPr>
        <w:snapToGrid/>
        <w:spacing w:before="0" w:after="0" w:line="360" w:lineRule="auto"/>
        <w:ind w:firstLine="0"/>
        <w:jc w:val="both"/>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7</w:t>
      </w:r>
      <w:r>
        <w:rPr>
          <w:rFonts w:hint="eastAsia" w:ascii="仿宋" w:hAnsi="仿宋" w:eastAsia="仿宋" w:cs="仿宋"/>
          <w:color w:val="auto"/>
          <w:sz w:val="28"/>
          <w:szCs w:val="28"/>
          <w:highlight w:val="none"/>
          <w:shd w:val="clear" w:color="auto" w:fill="FFFFFF"/>
        </w:rPr>
        <w:t>、技术服务电话：王工17773420435</w:t>
      </w:r>
      <w:r>
        <w:rPr>
          <w:rFonts w:hint="eastAsia" w:ascii="仿宋" w:hAnsi="仿宋" w:eastAsia="仿宋" w:cs="仿宋"/>
          <w:color w:val="auto"/>
          <w:sz w:val="28"/>
          <w:szCs w:val="28"/>
          <w:highlight w:val="none"/>
          <w:shd w:val="clear" w:color="auto" w:fill="FFFFFF"/>
          <w:lang w:eastAsia="zh-CN"/>
        </w:rPr>
        <w:t>。</w:t>
      </w:r>
    </w:p>
    <w:p w14:paraId="650B39F3">
      <w:pPr>
        <w:snapToGrid/>
        <w:spacing w:before="0" w:after="0" w:line="360" w:lineRule="auto"/>
        <w:ind w:firstLine="0"/>
        <w:jc w:val="both"/>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8、业务服务电话：</w:t>
      </w:r>
      <w:r>
        <w:rPr>
          <w:rFonts w:hint="eastAsia" w:ascii="仿宋" w:hAnsi="仿宋" w:eastAsia="仿宋" w:cs="仿宋"/>
          <w:color w:val="auto"/>
          <w:sz w:val="28"/>
          <w:szCs w:val="28"/>
          <w:highlight w:val="none"/>
          <w:shd w:val="clear" w:color="auto" w:fill="FFFFFF"/>
        </w:rPr>
        <w:t>詹工：0571-8</w:t>
      </w:r>
      <w:r>
        <w:rPr>
          <w:rFonts w:hint="eastAsia" w:ascii="仿宋" w:hAnsi="仿宋" w:eastAsia="仿宋" w:cs="仿宋"/>
          <w:color w:val="auto"/>
          <w:sz w:val="28"/>
          <w:szCs w:val="28"/>
          <w:highlight w:val="none"/>
          <w:shd w:val="clear" w:color="auto" w:fill="FFFFFF"/>
          <w:lang w:val="en-US" w:eastAsia="zh-CN"/>
        </w:rPr>
        <w:t>9521156。</w:t>
      </w:r>
    </w:p>
    <w:p w14:paraId="0FD3E9BE">
      <w:pPr>
        <w:snapToGrid/>
        <w:spacing w:before="0" w:after="0" w:line="360" w:lineRule="auto"/>
        <w:ind w:firstLine="0"/>
        <w:jc w:val="both"/>
        <w:rPr>
          <w:rFonts w:hint="eastAsia" w:ascii="仿宋" w:hAnsi="仿宋" w:eastAsia="仿宋" w:cs="仿宋"/>
          <w:color w:val="auto"/>
          <w:sz w:val="28"/>
          <w:szCs w:val="28"/>
          <w:highlight w:val="none"/>
          <w:shd w:val="clear" w:color="auto" w:fill="FFFFFF"/>
          <w:lang w:val="en-US"/>
        </w:rPr>
      </w:pPr>
      <w:r>
        <w:rPr>
          <w:rFonts w:hint="eastAsia" w:ascii="仿宋" w:hAnsi="仿宋" w:eastAsia="仿宋" w:cs="仿宋"/>
          <w:color w:val="auto"/>
          <w:sz w:val="28"/>
          <w:szCs w:val="28"/>
          <w:highlight w:val="none"/>
          <w:shd w:val="clear" w:color="auto" w:fill="FFFFFF"/>
          <w:lang w:val="en-US" w:eastAsia="zh-CN"/>
        </w:rPr>
        <w:t>9、CA问题联系电话：天谷CA 400-087-8198。</w:t>
      </w:r>
      <w:bookmarkStart w:id="9" w:name="OLE_LINK7"/>
    </w:p>
    <w:bookmarkEnd w:id="9"/>
    <w:p w14:paraId="25C8E9F0">
      <w:pPr>
        <w:pStyle w:val="5"/>
        <w:numPr>
          <w:ilvl w:val="0"/>
          <w:numId w:val="0"/>
        </w:numPr>
        <w:snapToGrid/>
        <w:spacing w:before="0" w:after="0" w:line="500" w:lineRule="auto"/>
        <w:jc w:val="both"/>
        <w:rPr>
          <w:rFonts w:hint="eastAsia"/>
          <w:color w:val="auto"/>
          <w:highlight w:val="none"/>
          <w:lang w:val="en-US" w:eastAsia="zh-CN"/>
        </w:rPr>
      </w:pPr>
      <w:r>
        <w:rPr>
          <w:rFonts w:hint="eastAsia"/>
          <w:color w:val="auto"/>
          <w:highlight w:val="none"/>
          <w:lang w:val="en-US" w:eastAsia="zh-CN"/>
        </w:rPr>
        <w:t>九、异议及投诉处理</w:t>
      </w:r>
    </w:p>
    <w:p w14:paraId="0B90C622">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32"/>
          <w:highlight w:val="none"/>
          <w:shd w:val="clear" w:color="auto" w:fill="FFFFFF"/>
          <w:lang w:val="en-US" w:eastAsia="zh-CN"/>
        </w:rPr>
        <w:t>1</w:t>
      </w:r>
      <w:r>
        <w:rPr>
          <w:rFonts w:hint="eastAsia" w:ascii="仿宋" w:hAnsi="仿宋" w:eastAsia="仿宋" w:cs="仿宋"/>
          <w:color w:val="auto"/>
          <w:sz w:val="28"/>
          <w:szCs w:val="28"/>
          <w:highlight w:val="none"/>
          <w:shd w:val="clear" w:color="auto" w:fill="FFFFFF"/>
          <w:lang w:val="en-US" w:eastAsia="zh-CN"/>
        </w:rPr>
        <w:t>、响应人认为交易活动不符合交易文件规定的可以向发起人或发起人委托的中介机构提出异议。对交易文件有异议的应当在交易文件规定的截止时间前提出，对交易过程有异议的应当在交易过程结束前提出，对成交结果有异议的应当在成交候选人公示期间提出。</w:t>
      </w:r>
    </w:p>
    <w:p w14:paraId="1D2BBE2E">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2、发起人或发起人委托的中介机构应当自收到异议之日起３个工作日内作出答复，作出答复之前应暂停交易活动，其中对交易活动现场情况有异议的，发起人或发起人委托的中介机构应当场作出答复，并制作记录。</w:t>
      </w:r>
    </w:p>
    <w:p w14:paraId="0283F515">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3、响应人对发起人或发起人委托的中介机构的答复不满意的，或者发起人或发起人委托的中介机构未在规定的时间内作出答复的，可以自知道或者应当知道之日起7个工作日内向交易文件明确的投诉处理部门小组提出投诉。投诉应当有明确的书面请求和必要的证明材料。</w:t>
      </w:r>
    </w:p>
    <w:p w14:paraId="21E603E4">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4、交易文件明确的投诉处理部门小组应当在3个工作日内作出补正或是否受理投诉的决定，对受理的投诉应当在30日内作出处理决定。投诉处理部门小组在处理投诉事项期间，原则上应暂停交易活动。</w:t>
      </w:r>
    </w:p>
    <w:p w14:paraId="0C0D21FA">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5、有下列情形的投诉，不予受理：</w:t>
      </w:r>
    </w:p>
    <w:p w14:paraId="629F2831">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（1）投诉事项不具体、没有明确请求的；</w:t>
      </w:r>
    </w:p>
    <w:p w14:paraId="34EB8568">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（2）投诉书未加盖单位公章的；</w:t>
      </w:r>
    </w:p>
    <w:p w14:paraId="08652B2B">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（3）超过投诉时效的；</w:t>
      </w:r>
    </w:p>
    <w:p w14:paraId="0E00ABB2">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（4）已作出处理决定，并且投诉人没有提出新的证据的；</w:t>
      </w:r>
    </w:p>
    <w:p w14:paraId="5136872F">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（5）投诉事项应先提出异议，没有提出异议或没有按规定提出异议的。</w:t>
      </w:r>
    </w:p>
    <w:p w14:paraId="594C2D42">
      <w:pPr>
        <w:pStyle w:val="5"/>
        <w:snapToGrid/>
        <w:spacing w:before="0" w:after="0" w:line="500" w:lineRule="auto"/>
        <w:jc w:val="both"/>
        <w:rPr>
          <w:color w:val="auto"/>
          <w:highlight w:val="none"/>
        </w:rPr>
      </w:pPr>
      <w:r>
        <w:rPr>
          <w:rFonts w:hint="eastAsia"/>
          <w:color w:val="auto"/>
          <w:highlight w:val="none"/>
          <w:shd w:val="clear" w:color="auto" w:fill="FFFFFF"/>
          <w:lang w:val="en-US" w:eastAsia="zh-CN"/>
        </w:rPr>
        <w:t>十</w:t>
      </w:r>
      <w:r>
        <w:rPr>
          <w:rFonts w:hint="eastAsia"/>
          <w:color w:val="auto"/>
          <w:highlight w:val="none"/>
          <w:shd w:val="clear" w:color="auto" w:fill="FFFFFF"/>
        </w:rPr>
        <w:t>、</w:t>
      </w:r>
      <w:r>
        <w:rPr>
          <w:color w:val="auto"/>
          <w:highlight w:val="none"/>
        </w:rPr>
        <w:t>对</w:t>
      </w:r>
      <w:r>
        <w:rPr>
          <w:rFonts w:hint="eastAsia" w:eastAsia="宋体"/>
          <w:color w:val="auto"/>
          <w:highlight w:val="none"/>
          <w:lang w:eastAsia="zh-CN"/>
        </w:rPr>
        <w:t>本次</w:t>
      </w:r>
      <w:r>
        <w:rPr>
          <w:rFonts w:hint="eastAsia"/>
          <w:color w:val="auto"/>
          <w:highlight w:val="none"/>
          <w:lang w:val="en-US" w:eastAsia="zh-CN"/>
        </w:rPr>
        <w:t>交易</w:t>
      </w:r>
      <w:r>
        <w:rPr>
          <w:color w:val="auto"/>
          <w:highlight w:val="none"/>
        </w:rPr>
        <w:t>提出询问、</w:t>
      </w:r>
      <w:r>
        <w:rPr>
          <w:rFonts w:hint="eastAsia"/>
          <w:color w:val="auto"/>
          <w:highlight w:val="none"/>
          <w:lang w:val="en-US" w:eastAsia="zh-CN"/>
        </w:rPr>
        <w:t>异议</w:t>
      </w:r>
      <w:r>
        <w:rPr>
          <w:color w:val="auto"/>
          <w:highlight w:val="none"/>
        </w:rPr>
        <w:t>、投诉，请按以下方式联系</w:t>
      </w:r>
    </w:p>
    <w:p w14:paraId="075758F4">
      <w:pPr>
        <w:widowControl w:val="0"/>
        <w:kinsoku/>
        <w:autoSpaceDE/>
        <w:autoSpaceDN/>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中介机构：</w:t>
      </w:r>
      <w:r>
        <w:rPr>
          <w:rFonts w:hint="eastAsia" w:ascii="仿宋" w:hAnsi="仿宋" w:eastAsia="仿宋" w:cs="仿宋"/>
          <w:color w:val="auto"/>
          <w:kern w:val="0"/>
          <w:sz w:val="28"/>
          <w:szCs w:val="28"/>
          <w:highlight w:val="none"/>
          <w:shd w:val="clear" w:color="auto" w:fill="FFFFFF"/>
          <w:lang w:eastAsia="zh-CN"/>
        </w:rPr>
        <w:t>浙江科佳工程咨询有限公司</w:t>
      </w:r>
    </w:p>
    <w:p w14:paraId="6670BB78">
      <w:pPr>
        <w:widowControl w:val="0"/>
        <w:kinsoku/>
        <w:autoSpaceDE/>
        <w:autoSpaceDN/>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eastAsia="zh-CN"/>
        </w:rPr>
        <w:t>联系人及联系电话：</w:t>
      </w:r>
      <w:r>
        <w:rPr>
          <w:rFonts w:hint="eastAsia" w:ascii="仿宋" w:hAnsi="仿宋" w:eastAsia="仿宋" w:cs="仿宋"/>
          <w:color w:val="auto"/>
          <w:kern w:val="0"/>
          <w:sz w:val="28"/>
          <w:szCs w:val="28"/>
          <w:highlight w:val="none"/>
          <w:shd w:val="clear" w:color="auto" w:fill="FFFFFF"/>
          <w:lang w:eastAsia="zh-CN"/>
        </w:rPr>
        <w:t>孙珊珊</w:t>
      </w:r>
      <w:r>
        <w:rPr>
          <w:rFonts w:hint="eastAsia" w:ascii="仿宋" w:hAnsi="仿宋" w:eastAsia="仿宋" w:cs="仿宋"/>
          <w:color w:val="auto"/>
          <w:kern w:val="0"/>
          <w:sz w:val="28"/>
          <w:szCs w:val="28"/>
          <w:highlight w:val="none"/>
          <w:shd w:val="clear" w:color="auto" w:fill="FFFFFF"/>
          <w:lang w:val="en-US" w:eastAsia="zh-CN"/>
        </w:rPr>
        <w:t xml:space="preserve"> 13306518315</w:t>
      </w:r>
    </w:p>
    <w:p w14:paraId="43AEBCD7">
      <w:pPr>
        <w:widowControl w:val="0"/>
        <w:kinsoku/>
        <w:autoSpaceDE/>
        <w:autoSpaceDN/>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val="en-US" w:eastAsia="zh-CN"/>
        </w:rPr>
        <w:t>联系地址：</w:t>
      </w:r>
      <w:r>
        <w:rPr>
          <w:rFonts w:hint="eastAsia" w:ascii="仿宋" w:hAnsi="仿宋" w:eastAsia="仿宋" w:cs="仿宋"/>
          <w:bCs w:val="0"/>
          <w:snapToGrid w:val="0"/>
          <w:color w:val="auto"/>
          <w:kern w:val="0"/>
          <w:sz w:val="28"/>
          <w:szCs w:val="28"/>
          <w:highlight w:val="none"/>
          <w:shd w:val="clear" w:color="auto" w:fill="FFFFFF"/>
          <w:lang w:eastAsia="zh-CN"/>
        </w:rPr>
        <w:t>杭州上城区凤起东路211号顺福商务中心3号楼10层事业部六部</w:t>
      </w:r>
    </w:p>
    <w:p w14:paraId="64AB021D">
      <w:pPr>
        <w:widowControl w:val="0"/>
        <w:kinsoku/>
        <w:autoSpaceDE/>
        <w:autoSpaceDN/>
        <w:adjustRightInd/>
        <w:snapToGrid/>
        <w:spacing w:before="0" w:after="0" w:line="360" w:lineRule="auto"/>
        <w:ind w:firstLine="560" w:firstLineChars="20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发起人：杭州滨江水务有限公司</w:t>
      </w:r>
    </w:p>
    <w:p w14:paraId="2CB10468">
      <w:pPr>
        <w:widowControl w:val="0"/>
        <w:kinsoku/>
        <w:autoSpaceDE/>
        <w:autoSpaceDN/>
        <w:adjustRightInd/>
        <w:snapToGrid/>
        <w:spacing w:before="0" w:after="0" w:line="360" w:lineRule="auto"/>
        <w:ind w:firstLine="560" w:firstLineChars="200"/>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eastAsia="zh-CN"/>
        </w:rPr>
        <w:t>联系人及联系电话：</w:t>
      </w:r>
      <w:r>
        <w:rPr>
          <w:rFonts w:hint="eastAsia" w:ascii="仿宋" w:hAnsi="仿宋" w:eastAsia="仿宋" w:cs="仿宋"/>
          <w:color w:val="auto"/>
          <w:sz w:val="28"/>
          <w:szCs w:val="28"/>
          <w:highlight w:val="none"/>
          <w:u w:val="none"/>
          <w:shd w:val="clear" w:color="auto" w:fill="FFFFFF"/>
          <w:lang w:val="en-US" w:eastAsia="zh-CN"/>
        </w:rPr>
        <w:t>夏工、苏工/0571-560336</w:t>
      </w:r>
      <w:r>
        <w:rPr>
          <w:rFonts w:hint="eastAsia" w:ascii="仿宋" w:hAnsi="仿宋" w:eastAsia="仿宋" w:cs="仿宋"/>
          <w:color w:val="auto"/>
          <w:sz w:val="28"/>
          <w:szCs w:val="28"/>
          <w:highlight w:val="none"/>
          <w:u w:val="none"/>
          <w:shd w:val="clear" w:color="auto" w:fill="FFFFFF"/>
          <w:lang w:eastAsia="zh-CN"/>
          <w:woUserID w:val="1"/>
        </w:rPr>
        <w:t>22</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询问、异议</w:t>
      </w:r>
      <w:r>
        <w:rPr>
          <w:rFonts w:hint="eastAsia" w:ascii="仿宋" w:hAnsi="仿宋" w:eastAsia="仿宋" w:cs="仿宋"/>
          <w:color w:val="auto"/>
          <w:sz w:val="28"/>
          <w:szCs w:val="28"/>
          <w:highlight w:val="none"/>
          <w:shd w:val="clear" w:color="auto" w:fill="FFFFFF"/>
          <w:lang w:eastAsia="zh-CN"/>
        </w:rPr>
        <w:t>）</w:t>
      </w:r>
    </w:p>
    <w:p w14:paraId="055DA717">
      <w:pPr>
        <w:widowControl w:val="0"/>
        <w:kinsoku/>
        <w:autoSpaceDE/>
        <w:autoSpaceDN/>
        <w:adjustRightInd/>
        <w:snapToGrid/>
        <w:spacing w:before="0" w:after="0" w:line="360" w:lineRule="auto"/>
        <w:ind w:firstLine="560" w:firstLineChars="200"/>
        <w:jc w:val="both"/>
        <w:textAlignment w:val="auto"/>
        <w:rPr>
          <w:rFonts w:hint="eastAsia" w:ascii="仿宋" w:hAnsi="仿宋" w:eastAsia="仿宋" w:cs="仿宋"/>
          <w:color w:val="auto"/>
          <w:sz w:val="28"/>
          <w:szCs w:val="28"/>
          <w:highlight w:val="none"/>
          <w:u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联系地址：</w:t>
      </w:r>
      <w:r>
        <w:rPr>
          <w:rFonts w:hint="eastAsia" w:ascii="仿宋" w:hAnsi="仿宋" w:eastAsia="仿宋" w:cs="仿宋"/>
          <w:color w:val="auto"/>
          <w:sz w:val="28"/>
          <w:szCs w:val="28"/>
          <w:highlight w:val="none"/>
          <w:u w:val="none"/>
          <w:shd w:val="clear" w:color="auto" w:fill="FFFFFF"/>
          <w:lang w:val="en-US" w:eastAsia="zh-CN"/>
        </w:rPr>
        <w:t>杭州市滨江区火炬</w:t>
      </w:r>
      <w:r>
        <w:rPr>
          <w:rFonts w:hint="eastAsia" w:ascii="仿宋" w:hAnsi="仿宋" w:eastAsia="仿宋" w:cs="仿宋"/>
          <w:color w:val="auto"/>
          <w:sz w:val="28"/>
          <w:szCs w:val="28"/>
          <w:highlight w:val="none"/>
          <w:u w:val="none"/>
          <w:shd w:val="clear" w:color="auto" w:fill="FFFFFF"/>
          <w:lang w:eastAsia="zh-CN"/>
          <w:woUserID w:val="1"/>
        </w:rPr>
        <w:t>南路</w:t>
      </w:r>
      <w:r>
        <w:rPr>
          <w:rFonts w:hint="eastAsia" w:ascii="仿宋" w:hAnsi="仿宋" w:eastAsia="仿宋" w:cs="仿宋"/>
          <w:color w:val="auto"/>
          <w:sz w:val="28"/>
          <w:szCs w:val="28"/>
          <w:highlight w:val="none"/>
          <w:u w:val="none"/>
          <w:shd w:val="clear" w:color="auto" w:fill="FFFFFF"/>
          <w:lang w:val="en-US" w:eastAsia="zh-CN"/>
        </w:rPr>
        <w:t>1699号</w:t>
      </w:r>
    </w:p>
    <w:p w14:paraId="6F5453DA">
      <w:pPr>
        <w:widowControl w:val="0"/>
        <w:kinsoku/>
        <w:autoSpaceDE/>
        <w:autoSpaceDN/>
        <w:adjustRightInd/>
        <w:snapToGrid/>
        <w:spacing w:before="0" w:after="0" w:line="360" w:lineRule="auto"/>
        <w:ind w:firstLine="560" w:firstLineChars="200"/>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联系人及联系电话：</w:t>
      </w:r>
      <w:r>
        <w:rPr>
          <w:rFonts w:hint="eastAsia" w:ascii="仿宋" w:hAnsi="仿宋" w:eastAsia="仿宋" w:cs="仿宋"/>
          <w:color w:val="auto"/>
          <w:sz w:val="28"/>
          <w:szCs w:val="28"/>
          <w:highlight w:val="none"/>
          <w:u w:val="none"/>
          <w:shd w:val="clear" w:color="auto" w:fill="FFFFFF"/>
          <w:lang w:val="en-US" w:eastAsia="zh-CN"/>
        </w:rPr>
        <w:t>夏工、苏工/0571-560336</w:t>
      </w:r>
      <w:r>
        <w:rPr>
          <w:rFonts w:hint="eastAsia" w:ascii="仿宋" w:hAnsi="仿宋" w:eastAsia="仿宋" w:cs="仿宋"/>
          <w:color w:val="auto"/>
          <w:sz w:val="28"/>
          <w:szCs w:val="28"/>
          <w:highlight w:val="none"/>
          <w:u w:val="none"/>
          <w:shd w:val="clear" w:color="auto" w:fill="FFFFFF"/>
          <w:lang w:eastAsia="zh-CN"/>
          <w:woUserID w:val="1"/>
        </w:rPr>
        <w:t>22</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投诉处理</w:t>
      </w:r>
      <w:r>
        <w:rPr>
          <w:rFonts w:hint="eastAsia" w:ascii="仿宋" w:hAnsi="仿宋" w:eastAsia="仿宋" w:cs="仿宋"/>
          <w:color w:val="auto"/>
          <w:sz w:val="28"/>
          <w:szCs w:val="28"/>
          <w:highlight w:val="none"/>
          <w:shd w:val="clear" w:color="auto" w:fill="FFFFFF"/>
          <w:lang w:eastAsia="zh-CN"/>
        </w:rPr>
        <w:t>）</w:t>
      </w:r>
    </w:p>
    <w:p w14:paraId="6DE76794">
      <w:pPr>
        <w:widowControl w:val="0"/>
        <w:kinsoku/>
        <w:autoSpaceDE/>
        <w:autoSpaceDN/>
        <w:adjustRightInd/>
        <w:snapToGrid/>
        <w:spacing w:before="0" w:after="0" w:line="360" w:lineRule="auto"/>
        <w:ind w:firstLine="560" w:firstLineChars="200"/>
        <w:jc w:val="both"/>
        <w:textAlignment w:val="auto"/>
        <w:rPr>
          <w:rFonts w:hint="eastAsia" w:ascii="仿宋" w:hAnsi="仿宋" w:eastAsia="仿宋" w:cs="仿宋"/>
          <w:color w:val="auto"/>
          <w:sz w:val="28"/>
          <w:szCs w:val="28"/>
          <w:highlight w:val="none"/>
          <w:u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联系地址：</w:t>
      </w:r>
      <w:r>
        <w:rPr>
          <w:rFonts w:hint="eastAsia" w:ascii="仿宋" w:hAnsi="仿宋" w:eastAsia="仿宋" w:cs="仿宋"/>
          <w:color w:val="auto"/>
          <w:sz w:val="28"/>
          <w:szCs w:val="28"/>
          <w:highlight w:val="none"/>
          <w:u w:val="none"/>
          <w:shd w:val="clear" w:color="auto" w:fill="FFFFFF"/>
          <w:lang w:val="en-US" w:eastAsia="zh-CN"/>
        </w:rPr>
        <w:t>杭州市滨江区火炬</w:t>
      </w:r>
      <w:r>
        <w:rPr>
          <w:rFonts w:hint="eastAsia" w:ascii="仿宋" w:hAnsi="仿宋" w:eastAsia="仿宋" w:cs="仿宋"/>
          <w:color w:val="auto"/>
          <w:sz w:val="28"/>
          <w:szCs w:val="28"/>
          <w:highlight w:val="none"/>
          <w:u w:val="none"/>
          <w:shd w:val="clear" w:color="auto" w:fill="FFFFFF"/>
          <w:lang w:eastAsia="zh-CN"/>
          <w:woUserID w:val="1"/>
        </w:rPr>
        <w:t>南路</w:t>
      </w:r>
      <w:r>
        <w:rPr>
          <w:rFonts w:hint="eastAsia" w:ascii="仿宋" w:hAnsi="仿宋" w:eastAsia="仿宋" w:cs="仿宋"/>
          <w:color w:val="auto"/>
          <w:sz w:val="28"/>
          <w:szCs w:val="28"/>
          <w:highlight w:val="none"/>
          <w:u w:val="none"/>
          <w:shd w:val="clear" w:color="auto" w:fill="FFFFFF"/>
          <w:lang w:val="en-US" w:eastAsia="zh-CN"/>
        </w:rPr>
        <w:t>1699号</w:t>
      </w:r>
    </w:p>
    <w:p w14:paraId="4AACFB3B">
      <w:pPr>
        <w:ind w:firstLine="5040" w:firstLineChars="1800"/>
        <w:rPr>
          <w:rFonts w:hint="eastAsia" w:ascii="仿宋" w:hAnsi="仿宋" w:eastAsia="仿宋" w:cs="仿宋"/>
          <w:color w:val="auto"/>
          <w:sz w:val="28"/>
          <w:szCs w:val="28"/>
          <w:highlight w:val="none"/>
          <w:shd w:val="clear" w:color="auto" w:fill="FFFFFF"/>
          <w:lang w:val="en-US" w:eastAsia="zh-CN"/>
        </w:rPr>
      </w:pPr>
    </w:p>
    <w:p w14:paraId="26801245">
      <w:pPr>
        <w:ind w:firstLine="6440" w:firstLineChars="2300"/>
        <w:rPr>
          <w:rFonts w:hint="eastAsia" w:ascii="仿宋" w:hAnsi="仿宋" w:eastAsia="仿宋" w:cs="仿宋"/>
        </w:rPr>
      </w:pPr>
      <w:r>
        <w:rPr>
          <w:rFonts w:hint="eastAsia" w:ascii="仿宋" w:hAnsi="仿宋" w:eastAsia="仿宋" w:cs="仿宋"/>
          <w:color w:val="auto"/>
          <w:sz w:val="28"/>
          <w:szCs w:val="28"/>
          <w:highlight w:val="none"/>
          <w:shd w:val="clear" w:color="auto" w:fill="FFFFFF"/>
          <w:lang w:val="en-US" w:eastAsia="zh-CN"/>
        </w:rPr>
        <w:t>2025</w:t>
      </w:r>
      <w:r>
        <w:rPr>
          <w:rFonts w:hint="eastAsia" w:ascii="仿宋" w:hAnsi="仿宋" w:eastAsia="仿宋" w:cs="仿宋"/>
          <w:color w:val="auto"/>
          <w:sz w:val="28"/>
          <w:szCs w:val="28"/>
          <w:highlight w:val="none"/>
          <w:shd w:val="clear" w:color="auto" w:fill="FFFFFF"/>
          <w:lang w:eastAsia="zh-CN"/>
        </w:rPr>
        <w:t>年</w:t>
      </w:r>
      <w:r>
        <w:rPr>
          <w:rFonts w:hint="eastAsia" w:ascii="仿宋" w:hAnsi="仿宋" w:eastAsia="仿宋" w:cs="仿宋"/>
          <w:color w:val="auto"/>
          <w:sz w:val="28"/>
          <w:szCs w:val="28"/>
          <w:highlight w:val="none"/>
          <w:shd w:val="clear" w:color="auto" w:fill="FFFFFF"/>
          <w:lang w:val="en-US" w:eastAsia="zh-CN"/>
        </w:rPr>
        <w:t xml:space="preserve"> 5</w:t>
      </w:r>
      <w:r>
        <w:rPr>
          <w:rFonts w:hint="eastAsia" w:ascii="仿宋" w:hAnsi="仿宋" w:eastAsia="仿宋" w:cs="仿宋"/>
          <w:color w:val="auto"/>
          <w:sz w:val="28"/>
          <w:szCs w:val="28"/>
          <w:highlight w:val="none"/>
          <w:shd w:val="clear" w:color="auto" w:fill="FFFFFF"/>
          <w:lang w:eastAsia="zh-CN"/>
        </w:rPr>
        <w:t xml:space="preserve"> 月</w:t>
      </w:r>
      <w:r>
        <w:rPr>
          <w:rFonts w:hint="eastAsia" w:ascii="仿宋" w:hAnsi="仿宋" w:eastAsia="仿宋" w:cs="仿宋"/>
          <w:color w:val="auto"/>
          <w:sz w:val="28"/>
          <w:szCs w:val="28"/>
          <w:highlight w:val="none"/>
          <w:shd w:val="clear" w:color="auto" w:fill="FFFFFF"/>
          <w:lang w:val="en-US" w:eastAsia="zh-CN"/>
        </w:rPr>
        <w:t xml:space="preserve"> 22 </w:t>
      </w:r>
      <w:r>
        <w:rPr>
          <w:rFonts w:hint="eastAsia" w:ascii="仿宋" w:hAnsi="仿宋" w:eastAsia="仿宋" w:cs="仿宋"/>
          <w:color w:val="auto"/>
          <w:sz w:val="28"/>
          <w:szCs w:val="28"/>
          <w:highlight w:val="none"/>
          <w:shd w:val="clear" w:color="auto" w:fill="FFFFFF"/>
          <w:lang w:eastAsia="zh-CN"/>
        </w:rPr>
        <w:t xml:space="preserve"> 日</w:t>
      </w:r>
    </w:p>
    <w:sectPr>
      <w:footerReference r:id="rId5" w:type="default"/>
      <w:pgSz w:w="11900" w:h="16840"/>
      <w:pgMar w:top="1361" w:right="1417" w:bottom="1361" w:left="1417" w:header="0" w:footer="850"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AB5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E0D8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1E0D8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DE1BE7"/>
    <w:rsid w:val="00FC3E1B"/>
    <w:rsid w:val="01826A17"/>
    <w:rsid w:val="019E43DF"/>
    <w:rsid w:val="01F4147E"/>
    <w:rsid w:val="02225B04"/>
    <w:rsid w:val="02587777"/>
    <w:rsid w:val="02744124"/>
    <w:rsid w:val="02895B83"/>
    <w:rsid w:val="029D33DC"/>
    <w:rsid w:val="02C1531D"/>
    <w:rsid w:val="02E77709"/>
    <w:rsid w:val="03127FF7"/>
    <w:rsid w:val="0328539C"/>
    <w:rsid w:val="03AC7D7B"/>
    <w:rsid w:val="03C52BEB"/>
    <w:rsid w:val="04A942BA"/>
    <w:rsid w:val="04E13A54"/>
    <w:rsid w:val="056D178C"/>
    <w:rsid w:val="05940AC6"/>
    <w:rsid w:val="06135E8F"/>
    <w:rsid w:val="0667442D"/>
    <w:rsid w:val="06734684"/>
    <w:rsid w:val="0676641E"/>
    <w:rsid w:val="0697654A"/>
    <w:rsid w:val="07071614"/>
    <w:rsid w:val="077C5CB6"/>
    <w:rsid w:val="07BB2321"/>
    <w:rsid w:val="08856DEC"/>
    <w:rsid w:val="08AC0C60"/>
    <w:rsid w:val="08DD09D6"/>
    <w:rsid w:val="09F77876"/>
    <w:rsid w:val="09F93BE8"/>
    <w:rsid w:val="0A6D7B38"/>
    <w:rsid w:val="0A6E5D8A"/>
    <w:rsid w:val="0BEB51B8"/>
    <w:rsid w:val="0C0562B6"/>
    <w:rsid w:val="0C435205"/>
    <w:rsid w:val="0C7E427E"/>
    <w:rsid w:val="0C8C699B"/>
    <w:rsid w:val="0CD520F0"/>
    <w:rsid w:val="0D26294C"/>
    <w:rsid w:val="0D711CE4"/>
    <w:rsid w:val="0DDD6D83"/>
    <w:rsid w:val="0DFE7425"/>
    <w:rsid w:val="0ED215A6"/>
    <w:rsid w:val="0F5C08A7"/>
    <w:rsid w:val="0F7227EF"/>
    <w:rsid w:val="0FB00BF3"/>
    <w:rsid w:val="10E82F7F"/>
    <w:rsid w:val="111D741B"/>
    <w:rsid w:val="115455AE"/>
    <w:rsid w:val="11BC387F"/>
    <w:rsid w:val="124B58DC"/>
    <w:rsid w:val="124B69B1"/>
    <w:rsid w:val="12583CE6"/>
    <w:rsid w:val="12CD1ECC"/>
    <w:rsid w:val="13315BA7"/>
    <w:rsid w:val="13A26AA4"/>
    <w:rsid w:val="140B464A"/>
    <w:rsid w:val="142B6A9A"/>
    <w:rsid w:val="14365B12"/>
    <w:rsid w:val="14920664"/>
    <w:rsid w:val="14DE3B0C"/>
    <w:rsid w:val="15B16AE9"/>
    <w:rsid w:val="163D0D06"/>
    <w:rsid w:val="16BA4105"/>
    <w:rsid w:val="173B6D42"/>
    <w:rsid w:val="17550F19"/>
    <w:rsid w:val="17A1653C"/>
    <w:rsid w:val="17EF6C40"/>
    <w:rsid w:val="183B301F"/>
    <w:rsid w:val="184C5231"/>
    <w:rsid w:val="189F1804"/>
    <w:rsid w:val="18DA6CE0"/>
    <w:rsid w:val="18E86ABE"/>
    <w:rsid w:val="19050034"/>
    <w:rsid w:val="1997072D"/>
    <w:rsid w:val="1A27385F"/>
    <w:rsid w:val="1A383CBF"/>
    <w:rsid w:val="1A430F6A"/>
    <w:rsid w:val="1AB570BD"/>
    <w:rsid w:val="1AC35C7E"/>
    <w:rsid w:val="1B122762"/>
    <w:rsid w:val="1B66485B"/>
    <w:rsid w:val="1B8401B7"/>
    <w:rsid w:val="1C2B3E21"/>
    <w:rsid w:val="1D473337"/>
    <w:rsid w:val="1D874C2C"/>
    <w:rsid w:val="1DC064A5"/>
    <w:rsid w:val="1DCB5147"/>
    <w:rsid w:val="1DF82069"/>
    <w:rsid w:val="1E0970C7"/>
    <w:rsid w:val="1E405CCA"/>
    <w:rsid w:val="1E4852D2"/>
    <w:rsid w:val="1E7D5544"/>
    <w:rsid w:val="1F5E5F75"/>
    <w:rsid w:val="1FB060A5"/>
    <w:rsid w:val="1FF71F26"/>
    <w:rsid w:val="200563F1"/>
    <w:rsid w:val="20D364EF"/>
    <w:rsid w:val="20E57FD0"/>
    <w:rsid w:val="21101FF1"/>
    <w:rsid w:val="21EF529B"/>
    <w:rsid w:val="23047953"/>
    <w:rsid w:val="23241284"/>
    <w:rsid w:val="23906919"/>
    <w:rsid w:val="23B213C1"/>
    <w:rsid w:val="23BD497A"/>
    <w:rsid w:val="23C30A9D"/>
    <w:rsid w:val="240D7F6A"/>
    <w:rsid w:val="245711E5"/>
    <w:rsid w:val="24945F95"/>
    <w:rsid w:val="24A0493A"/>
    <w:rsid w:val="24D07CDC"/>
    <w:rsid w:val="24D70ECE"/>
    <w:rsid w:val="24E32A79"/>
    <w:rsid w:val="25001926"/>
    <w:rsid w:val="25A81599"/>
    <w:rsid w:val="273D0B66"/>
    <w:rsid w:val="2758774E"/>
    <w:rsid w:val="28003E99"/>
    <w:rsid w:val="281F64BE"/>
    <w:rsid w:val="28333D17"/>
    <w:rsid w:val="28814A83"/>
    <w:rsid w:val="29277985"/>
    <w:rsid w:val="29652E48"/>
    <w:rsid w:val="29C606A8"/>
    <w:rsid w:val="2A23755B"/>
    <w:rsid w:val="2A3A4256"/>
    <w:rsid w:val="2A5C7555"/>
    <w:rsid w:val="2AE5579D"/>
    <w:rsid w:val="2B446E0B"/>
    <w:rsid w:val="2B51698E"/>
    <w:rsid w:val="2C1458F3"/>
    <w:rsid w:val="2C891ED6"/>
    <w:rsid w:val="2EF53B93"/>
    <w:rsid w:val="2F204FF5"/>
    <w:rsid w:val="2F212B1B"/>
    <w:rsid w:val="2F320885"/>
    <w:rsid w:val="2F9B467C"/>
    <w:rsid w:val="30087837"/>
    <w:rsid w:val="30556F21"/>
    <w:rsid w:val="319121DA"/>
    <w:rsid w:val="3220530C"/>
    <w:rsid w:val="32235E78"/>
    <w:rsid w:val="32BE131A"/>
    <w:rsid w:val="335374D0"/>
    <w:rsid w:val="33951ABA"/>
    <w:rsid w:val="339E473B"/>
    <w:rsid w:val="340D366E"/>
    <w:rsid w:val="34391824"/>
    <w:rsid w:val="344A48C2"/>
    <w:rsid w:val="345179FF"/>
    <w:rsid w:val="34675474"/>
    <w:rsid w:val="350E3B42"/>
    <w:rsid w:val="35284C04"/>
    <w:rsid w:val="35B562DA"/>
    <w:rsid w:val="36783969"/>
    <w:rsid w:val="36CA3A99"/>
    <w:rsid w:val="37BA1D5F"/>
    <w:rsid w:val="37EB1EDA"/>
    <w:rsid w:val="386D5023"/>
    <w:rsid w:val="3A0D6176"/>
    <w:rsid w:val="3A157721"/>
    <w:rsid w:val="3A414072"/>
    <w:rsid w:val="3A437DEA"/>
    <w:rsid w:val="3A98051A"/>
    <w:rsid w:val="3AEE244B"/>
    <w:rsid w:val="3B3D6F2F"/>
    <w:rsid w:val="3B4262F3"/>
    <w:rsid w:val="3B9F72A2"/>
    <w:rsid w:val="3C4936B2"/>
    <w:rsid w:val="3CE753A4"/>
    <w:rsid w:val="3CF4186F"/>
    <w:rsid w:val="3CF70526"/>
    <w:rsid w:val="3D891FB8"/>
    <w:rsid w:val="3DA908AC"/>
    <w:rsid w:val="3E2B711B"/>
    <w:rsid w:val="3E8A248B"/>
    <w:rsid w:val="3F055FB6"/>
    <w:rsid w:val="3F7171A7"/>
    <w:rsid w:val="3FB362C2"/>
    <w:rsid w:val="40297A82"/>
    <w:rsid w:val="40607556"/>
    <w:rsid w:val="40783E86"/>
    <w:rsid w:val="40FF5E7D"/>
    <w:rsid w:val="41604C7A"/>
    <w:rsid w:val="41F137A5"/>
    <w:rsid w:val="42563DE0"/>
    <w:rsid w:val="436A63E7"/>
    <w:rsid w:val="43A37B4B"/>
    <w:rsid w:val="43FF1225"/>
    <w:rsid w:val="445A46AE"/>
    <w:rsid w:val="447119F7"/>
    <w:rsid w:val="45F15C37"/>
    <w:rsid w:val="45FF1F0F"/>
    <w:rsid w:val="464949DA"/>
    <w:rsid w:val="469F3F0A"/>
    <w:rsid w:val="46EB6701"/>
    <w:rsid w:val="472D5FBB"/>
    <w:rsid w:val="47305B9A"/>
    <w:rsid w:val="479E2B03"/>
    <w:rsid w:val="48EE48B5"/>
    <w:rsid w:val="48F13107"/>
    <w:rsid w:val="48FA6735"/>
    <w:rsid w:val="48FD2351"/>
    <w:rsid w:val="49023EF1"/>
    <w:rsid w:val="499C12C5"/>
    <w:rsid w:val="49A95790"/>
    <w:rsid w:val="4A62250E"/>
    <w:rsid w:val="4B1F3F5B"/>
    <w:rsid w:val="4B92297F"/>
    <w:rsid w:val="4BFB6776"/>
    <w:rsid w:val="4CE256E5"/>
    <w:rsid w:val="4D141855"/>
    <w:rsid w:val="4D3D2DBF"/>
    <w:rsid w:val="4DA30E74"/>
    <w:rsid w:val="4E35589A"/>
    <w:rsid w:val="4E9416F1"/>
    <w:rsid w:val="4EB90223"/>
    <w:rsid w:val="4EFB083B"/>
    <w:rsid w:val="4F2C4F5B"/>
    <w:rsid w:val="4F6B6FE2"/>
    <w:rsid w:val="4F7725B8"/>
    <w:rsid w:val="4FF27E90"/>
    <w:rsid w:val="502F2E92"/>
    <w:rsid w:val="5052092F"/>
    <w:rsid w:val="50B82E88"/>
    <w:rsid w:val="5145535A"/>
    <w:rsid w:val="51A67184"/>
    <w:rsid w:val="51AC0B66"/>
    <w:rsid w:val="51E30AB3"/>
    <w:rsid w:val="522956BF"/>
    <w:rsid w:val="52B94C95"/>
    <w:rsid w:val="5373753A"/>
    <w:rsid w:val="53922920"/>
    <w:rsid w:val="53980258"/>
    <w:rsid w:val="539B25ED"/>
    <w:rsid w:val="53B4545D"/>
    <w:rsid w:val="541D7E04"/>
    <w:rsid w:val="54212AF2"/>
    <w:rsid w:val="54783AFF"/>
    <w:rsid w:val="54E0475B"/>
    <w:rsid w:val="54F226E1"/>
    <w:rsid w:val="55236D3E"/>
    <w:rsid w:val="558172DD"/>
    <w:rsid w:val="55911EF9"/>
    <w:rsid w:val="55AA4D69"/>
    <w:rsid w:val="55AF1596"/>
    <w:rsid w:val="55BF6A67"/>
    <w:rsid w:val="55F941A5"/>
    <w:rsid w:val="56332FB1"/>
    <w:rsid w:val="56892BD1"/>
    <w:rsid w:val="56BE5EE0"/>
    <w:rsid w:val="56C1680E"/>
    <w:rsid w:val="578F44DB"/>
    <w:rsid w:val="57FA3D86"/>
    <w:rsid w:val="57FB7AFE"/>
    <w:rsid w:val="58887BDB"/>
    <w:rsid w:val="589F0489"/>
    <w:rsid w:val="59080598"/>
    <w:rsid w:val="5971102A"/>
    <w:rsid w:val="5A166E71"/>
    <w:rsid w:val="5A3A729D"/>
    <w:rsid w:val="5A51086F"/>
    <w:rsid w:val="5A6B0F6B"/>
    <w:rsid w:val="5B8D4F11"/>
    <w:rsid w:val="5BFB631F"/>
    <w:rsid w:val="5C4F0418"/>
    <w:rsid w:val="5D1771EA"/>
    <w:rsid w:val="5D26561D"/>
    <w:rsid w:val="5DB03139"/>
    <w:rsid w:val="5DC015CE"/>
    <w:rsid w:val="5E274AA5"/>
    <w:rsid w:val="5EA73E80"/>
    <w:rsid w:val="5EC07384"/>
    <w:rsid w:val="5ECC3FA2"/>
    <w:rsid w:val="60003F04"/>
    <w:rsid w:val="600F05EB"/>
    <w:rsid w:val="60C82547"/>
    <w:rsid w:val="61A46B11"/>
    <w:rsid w:val="6220088D"/>
    <w:rsid w:val="627D3B30"/>
    <w:rsid w:val="62CB6370"/>
    <w:rsid w:val="62EC076F"/>
    <w:rsid w:val="62F12229"/>
    <w:rsid w:val="635A7DCF"/>
    <w:rsid w:val="63C54613"/>
    <w:rsid w:val="645E744B"/>
    <w:rsid w:val="647B45F1"/>
    <w:rsid w:val="64C00105"/>
    <w:rsid w:val="64D271B0"/>
    <w:rsid w:val="64F63B27"/>
    <w:rsid w:val="65B37D3B"/>
    <w:rsid w:val="65DF45BB"/>
    <w:rsid w:val="660B04C3"/>
    <w:rsid w:val="661A55F3"/>
    <w:rsid w:val="666D7CAB"/>
    <w:rsid w:val="67243CCF"/>
    <w:rsid w:val="67EB5499"/>
    <w:rsid w:val="682B1D3A"/>
    <w:rsid w:val="685F5D9B"/>
    <w:rsid w:val="68825CC6"/>
    <w:rsid w:val="69A562E2"/>
    <w:rsid w:val="6A164324"/>
    <w:rsid w:val="6A1C5DDE"/>
    <w:rsid w:val="6B2B4893"/>
    <w:rsid w:val="6B4A697B"/>
    <w:rsid w:val="6B7A2F50"/>
    <w:rsid w:val="6C465394"/>
    <w:rsid w:val="6C8225B2"/>
    <w:rsid w:val="6CA02C53"/>
    <w:rsid w:val="6D4700B4"/>
    <w:rsid w:val="6DC42A14"/>
    <w:rsid w:val="6E10707A"/>
    <w:rsid w:val="6E245261"/>
    <w:rsid w:val="6E751F61"/>
    <w:rsid w:val="6E8338B1"/>
    <w:rsid w:val="700A66D9"/>
    <w:rsid w:val="70AB1C6A"/>
    <w:rsid w:val="70C20D61"/>
    <w:rsid w:val="70CD1098"/>
    <w:rsid w:val="70F0197B"/>
    <w:rsid w:val="71267542"/>
    <w:rsid w:val="71525512"/>
    <w:rsid w:val="71883D59"/>
    <w:rsid w:val="72AC0074"/>
    <w:rsid w:val="72D52FCE"/>
    <w:rsid w:val="735A1840"/>
    <w:rsid w:val="73BE0CA2"/>
    <w:rsid w:val="73CF2113"/>
    <w:rsid w:val="74660628"/>
    <w:rsid w:val="753164B5"/>
    <w:rsid w:val="75834F63"/>
    <w:rsid w:val="75C134CE"/>
    <w:rsid w:val="76684159"/>
    <w:rsid w:val="76B949B4"/>
    <w:rsid w:val="76E01F41"/>
    <w:rsid w:val="78F32400"/>
    <w:rsid w:val="79052133"/>
    <w:rsid w:val="79426EE3"/>
    <w:rsid w:val="79477B3E"/>
    <w:rsid w:val="794E5888"/>
    <w:rsid w:val="79A658E3"/>
    <w:rsid w:val="79B17BC5"/>
    <w:rsid w:val="7A1C40D2"/>
    <w:rsid w:val="7A431165"/>
    <w:rsid w:val="7B2F5245"/>
    <w:rsid w:val="7B3F192C"/>
    <w:rsid w:val="7B4056A4"/>
    <w:rsid w:val="7B6C0247"/>
    <w:rsid w:val="7C1C1C6D"/>
    <w:rsid w:val="7C546381"/>
    <w:rsid w:val="7C8021FC"/>
    <w:rsid w:val="7CD35118"/>
    <w:rsid w:val="7D40373A"/>
    <w:rsid w:val="7E33329E"/>
    <w:rsid w:val="7E350DC4"/>
    <w:rsid w:val="7E4F632A"/>
    <w:rsid w:val="7E7A2C7B"/>
    <w:rsid w:val="7EF24F07"/>
    <w:rsid w:val="7EFF5DCF"/>
    <w:rsid w:val="7F157CF5"/>
    <w:rsid w:val="7F315A30"/>
    <w:rsid w:val="7F923FF5"/>
    <w:rsid w:val="7FBB7E57"/>
    <w:rsid w:val="7FDF548C"/>
    <w:rsid w:val="7FE51011"/>
    <w:rsid w:val="CA75722D"/>
    <w:rsid w:val="DDEF1F4E"/>
    <w:rsid w:val="FFB96C0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spacing w:before="0" w:after="0" w:line="240" w:lineRule="auto"/>
      <w:outlineLvl w:val="0"/>
    </w:pPr>
    <w:rPr>
      <w:kern w:val="44"/>
      <w:sz w:val="44"/>
      <w:szCs w:val="44"/>
    </w:rPr>
  </w:style>
  <w:style w:type="paragraph" w:styleId="4">
    <w:name w:val="heading 2"/>
    <w:basedOn w:val="1"/>
    <w:next w:val="1"/>
    <w:qFormat/>
    <w:uiPriority w:val="0"/>
    <w:pPr>
      <w:outlineLvl w:val="1"/>
    </w:pPr>
    <w:rPr>
      <w:b/>
      <w:bCs/>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3">
    <w:name w:val="标题 10"/>
    <w:basedOn w:val="4"/>
    <w:qFormat/>
    <w:uiPriority w:val="0"/>
    <w:pPr>
      <w:jc w:val="center"/>
    </w:pPr>
    <w:rPr>
      <w:kern w:val="0"/>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qFormat/>
    <w:uiPriority w:val="99"/>
    <w:pPr>
      <w:jc w:val="left"/>
    </w:pPr>
  </w:style>
  <w:style w:type="paragraph" w:styleId="9">
    <w:name w:val="Body Text"/>
    <w:basedOn w:val="1"/>
    <w:next w:val="1"/>
    <w:semiHidden/>
    <w:qFormat/>
    <w:uiPriority w:val="0"/>
    <w:rPr>
      <w:rFonts w:ascii="仿宋" w:hAnsi="仿宋" w:eastAsia="仿宋" w:cs="仿宋"/>
      <w:sz w:val="31"/>
      <w:szCs w:val="31"/>
      <w:lang w:val="en-US" w:eastAsia="en-US" w:bidi="ar-SA"/>
    </w:rPr>
  </w:style>
  <w:style w:type="paragraph" w:styleId="10">
    <w:name w:val="Body Text Indent"/>
    <w:basedOn w:val="1"/>
    <w:qFormat/>
    <w:uiPriority w:val="0"/>
    <w:pPr>
      <w:autoSpaceDE/>
      <w:autoSpaceDN/>
      <w:adjustRightInd/>
      <w:ind w:firstLine="560" w:firstLineChars="200"/>
      <w:jc w:val="both"/>
    </w:pPr>
    <w:rPr>
      <w:rFonts w:ascii="宋体" w:hAnsi="宋体"/>
      <w:sz w:val="28"/>
      <w:szCs w:val="28"/>
    </w:rPr>
  </w:style>
  <w:style w:type="paragraph" w:styleId="11">
    <w:name w:val="Plain Text"/>
    <w:basedOn w:val="1"/>
    <w:next w:val="12"/>
    <w:semiHidden/>
    <w:unhideWhenUsed/>
    <w:qFormat/>
    <w:uiPriority w:val="99"/>
    <w:rPr>
      <w:rFonts w:ascii="宋体" w:hAnsi="Courier New" w:eastAsia="宋体" w:cs="Times New Roman"/>
      <w:kern w:val="0"/>
      <w:sz w:val="20"/>
      <w:szCs w:val="20"/>
    </w:rPr>
  </w:style>
  <w:style w:type="paragraph" w:styleId="12">
    <w:name w:val="Date"/>
    <w:basedOn w:val="1"/>
    <w:next w:val="1"/>
    <w:semiHidden/>
    <w:unhideWhenUsed/>
    <w:qFormat/>
    <w:uiPriority w:val="0"/>
    <w:pPr>
      <w:ind w:left="100" w:leftChars="2500"/>
    </w:pPr>
    <w:rPr>
      <w:rFonts w:ascii="Times New Roman" w:hAnsi="Times New Roman" w:eastAsia="宋体" w:cs="Times New Roman"/>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next w:val="1"/>
    <w:qFormat/>
    <w:uiPriority w:val="0"/>
    <w:pPr>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标题 55"/>
    <w:basedOn w:val="6"/>
    <w:qFormat/>
    <w:uiPriority w:val="0"/>
    <w:rPr>
      <w:rFonts w:ascii="方正黑体简体" w:eastAsia="方正黑体简体"/>
      <w:b w:val="0"/>
      <w:bCs w:val="0"/>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19"/>
      <w:szCs w:val="19"/>
      <w:lang w:val="en-US" w:eastAsia="en-US" w:bidi="ar-SA"/>
    </w:rPr>
  </w:style>
  <w:style w:type="paragraph" w:customStyle="1" w:styleId="23">
    <w:name w:val="Body Text First Indent 2"/>
    <w:basedOn w:val="2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4">
    <w:name w:val="Body Text Indent"/>
    <w:basedOn w:val="1"/>
    <w:next w:val="1"/>
    <w:qFormat/>
    <w:uiPriority w:val="0"/>
    <w:pPr>
      <w:spacing w:after="120" w:afterLines="0"/>
      <w:ind w:left="420" w:leftChars="200"/>
    </w:pPr>
    <w:rPr>
      <w:color w:val="000000"/>
      <w:sz w:val="21"/>
      <w:szCs w:val="21"/>
    </w:rPr>
  </w:style>
  <w:style w:type="character" w:customStyle="1" w:styleId="25">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7888</Words>
  <Characters>8658</Characters>
  <Lines>1</Lines>
  <Paragraphs>1</Paragraphs>
  <TotalTime>6</TotalTime>
  <ScaleCrop>false</ScaleCrop>
  <LinksUpToDate>false</LinksUpToDate>
  <CharactersWithSpaces>8821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2025-03-22T07:33:00Z</dcterms:created>
  <dc:creator>DELL</dc:creator>
  <cp:lastModifiedBy>Ssshan</cp:lastModifiedBy>
  <cp:lastPrinted>2025-05-06T00:49:00Z</cp:lastPrinted>
  <dcterms:modified xsi:type="dcterms:W3CDTF">2025-05-22T09:11:38Z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2025-03-25T15:37:00Z</vt:filetime>
  </property>
  <property fmtid="{D5CDD505-2E9C-101B-9397-08002B2CF9AE}" pid="4" name="KSOTemplateDocerSaveRecord">
    <vt:lpwstr>eyJoZGlkIjoiMWRlMDFjM2YxMzUwMDA1NDcwZTZhOWNlNzkyMDczZjUiLCJ1c2VySWQiOiIyNTMzNDI2MDkifQ==</vt:lpwstr>
  </property>
  <property fmtid="{D5CDD505-2E9C-101B-9397-08002B2CF9AE}" pid="5" name="KSOProductBuildVer">
    <vt:lpwstr>2052-12.1.0.21171</vt:lpwstr>
  </property>
  <property fmtid="{D5CDD505-2E9C-101B-9397-08002B2CF9AE}" pid="6" name="ICV">
    <vt:lpwstr>A4D13AA4DDB34D09947A6CD2A2319760_13</vt:lpwstr>
  </property>
</Properties>
</file>